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ind w:firstLine="880" w:firstLineChars="200"/>
        <w:rPr>
          <w:color w:val="000000" w:themeColor="text1"/>
          <w:sz w:val="44"/>
          <w:szCs w:val="44"/>
          <w14:textFill>
            <w14:solidFill>
              <w14:schemeClr w14:val="tx1"/>
            </w14:solidFill>
          </w14:textFill>
        </w:rPr>
      </w:pPr>
    </w:p>
    <w:p>
      <w:pPr>
        <w:spacing w:line="580" w:lineRule="exact"/>
        <w:ind w:firstLine="640" w:firstLineChars="200"/>
        <w:rPr>
          <w:color w:val="000000" w:themeColor="text1"/>
          <w:sz w:val="32"/>
          <w:szCs w:val="32"/>
          <w14:textFill>
            <w14:solidFill>
              <w14:schemeClr w14:val="tx1"/>
            </w14:solidFill>
          </w14:textFill>
        </w:rPr>
      </w:pPr>
    </w:p>
    <w:p>
      <w:pPr>
        <w:spacing w:line="580" w:lineRule="exact"/>
        <w:ind w:firstLine="640" w:firstLineChars="200"/>
        <w:rPr>
          <w:color w:val="000000" w:themeColor="text1"/>
          <w:sz w:val="32"/>
          <w:szCs w:val="32"/>
          <w14:textFill>
            <w14:solidFill>
              <w14:schemeClr w14:val="tx1"/>
            </w14:solidFill>
          </w14:textFill>
        </w:rPr>
      </w:pPr>
    </w:p>
    <w:p>
      <w:pPr>
        <w:spacing w:before="156" w:beforeLines="50" w:after="156" w:afterLines="50" w:line="580" w:lineRule="exact"/>
        <w:jc w:val="center"/>
        <w:rPr>
          <w:rFonts w:eastAsia="方正小标宋_GBK"/>
          <w:color w:val="000000" w:themeColor="text1"/>
          <w:sz w:val="46"/>
          <w:szCs w:val="44"/>
          <w14:textFill>
            <w14:solidFill>
              <w14:schemeClr w14:val="tx1"/>
            </w14:solidFill>
          </w14:textFill>
        </w:rPr>
      </w:pPr>
      <w:bookmarkStart w:id="76" w:name="_GoBack"/>
      <w:r>
        <w:rPr>
          <w:rFonts w:hint="eastAsia" w:eastAsia="方正小标宋_GBK"/>
          <w:color w:val="000000" w:themeColor="text1"/>
          <w:sz w:val="46"/>
          <w:szCs w:val="44"/>
          <w14:textFill>
            <w14:solidFill>
              <w14:schemeClr w14:val="tx1"/>
            </w14:solidFill>
          </w14:textFill>
        </w:rPr>
        <w:t>宿迁市“十四五”工业经济高质量发展规划</w:t>
      </w:r>
    </w:p>
    <w:bookmarkEnd w:id="76"/>
    <w:p>
      <w:pPr>
        <w:spacing w:line="580" w:lineRule="exact"/>
        <w:jc w:val="center"/>
        <w:rPr>
          <w:rFonts w:eastAsia="方正楷体_GBK"/>
          <w:color w:val="000000" w:themeColor="text1"/>
          <w:sz w:val="36"/>
          <w:szCs w:val="32"/>
          <w14:textFill>
            <w14:solidFill>
              <w14:schemeClr w14:val="tx1"/>
            </w14:solidFill>
          </w14:textFill>
        </w:rPr>
      </w:pPr>
    </w:p>
    <w:p>
      <w:pPr>
        <w:spacing w:line="580" w:lineRule="exact"/>
        <w:ind w:firstLine="640" w:firstLineChars="200"/>
        <w:rPr>
          <w:color w:val="000000" w:themeColor="text1"/>
          <w:sz w:val="32"/>
          <w:szCs w:val="32"/>
          <w14:textFill>
            <w14:solidFill>
              <w14:schemeClr w14:val="tx1"/>
            </w14:solidFill>
          </w14:textFill>
        </w:rPr>
      </w:pPr>
    </w:p>
    <w:p>
      <w:pPr>
        <w:spacing w:line="580" w:lineRule="exact"/>
        <w:ind w:firstLine="640" w:firstLineChars="200"/>
        <w:rPr>
          <w:color w:val="000000" w:themeColor="text1"/>
          <w:sz w:val="32"/>
          <w:szCs w:val="32"/>
          <w14:textFill>
            <w14:solidFill>
              <w14:schemeClr w14:val="tx1"/>
            </w14:solidFill>
          </w14:textFill>
        </w:rPr>
      </w:pPr>
    </w:p>
    <w:p>
      <w:pPr>
        <w:spacing w:line="580" w:lineRule="exact"/>
        <w:ind w:firstLine="640" w:firstLineChars="200"/>
        <w:rPr>
          <w:color w:val="000000" w:themeColor="text1"/>
          <w:sz w:val="32"/>
          <w:szCs w:val="32"/>
          <w14:textFill>
            <w14:solidFill>
              <w14:schemeClr w14:val="tx1"/>
            </w14:solidFill>
          </w14:textFill>
        </w:rPr>
      </w:pPr>
    </w:p>
    <w:p>
      <w:pPr>
        <w:spacing w:line="580" w:lineRule="exact"/>
        <w:ind w:firstLine="640" w:firstLineChars="200"/>
        <w:rPr>
          <w:color w:val="000000" w:themeColor="text1"/>
          <w:sz w:val="32"/>
          <w:szCs w:val="32"/>
          <w14:textFill>
            <w14:solidFill>
              <w14:schemeClr w14:val="tx1"/>
            </w14:solidFill>
          </w14:textFill>
        </w:rPr>
      </w:pPr>
    </w:p>
    <w:p>
      <w:pPr>
        <w:spacing w:line="580" w:lineRule="exact"/>
        <w:ind w:firstLine="640" w:firstLineChars="200"/>
        <w:rPr>
          <w:color w:val="000000" w:themeColor="text1"/>
          <w:sz w:val="32"/>
          <w:szCs w:val="32"/>
          <w14:textFill>
            <w14:solidFill>
              <w14:schemeClr w14:val="tx1"/>
            </w14:solidFill>
          </w14:textFill>
        </w:rPr>
      </w:pPr>
    </w:p>
    <w:p>
      <w:pPr>
        <w:spacing w:line="580" w:lineRule="exact"/>
        <w:ind w:firstLine="640" w:firstLineChars="200"/>
        <w:rPr>
          <w:color w:val="000000" w:themeColor="text1"/>
          <w:sz w:val="32"/>
          <w:szCs w:val="32"/>
          <w14:textFill>
            <w14:solidFill>
              <w14:schemeClr w14:val="tx1"/>
            </w14:solidFill>
          </w14:textFill>
        </w:rPr>
      </w:pPr>
    </w:p>
    <w:p>
      <w:pPr>
        <w:pStyle w:val="2"/>
        <w:spacing w:line="580" w:lineRule="exact"/>
        <w:ind w:firstLine="331"/>
        <w:rPr>
          <w:color w:val="000000" w:themeColor="text1"/>
          <w:lang w:val="en-US" w:bidi="ar-SA"/>
          <w14:textFill>
            <w14:solidFill>
              <w14:schemeClr w14:val="tx1"/>
            </w14:solidFill>
          </w14:textFill>
        </w:rPr>
      </w:pPr>
    </w:p>
    <w:p>
      <w:pPr>
        <w:pStyle w:val="2"/>
        <w:spacing w:line="580" w:lineRule="exact"/>
        <w:ind w:firstLine="331"/>
        <w:rPr>
          <w:color w:val="000000" w:themeColor="text1"/>
          <w:lang w:val="en-US" w:bidi="ar-SA"/>
          <w14:textFill>
            <w14:solidFill>
              <w14:schemeClr w14:val="tx1"/>
            </w14:solidFill>
          </w14:textFill>
        </w:rPr>
      </w:pPr>
    </w:p>
    <w:p>
      <w:pPr>
        <w:spacing w:line="580" w:lineRule="exact"/>
        <w:ind w:firstLine="640" w:firstLineChars="200"/>
        <w:rPr>
          <w:color w:val="000000" w:themeColor="text1"/>
          <w:sz w:val="32"/>
          <w:szCs w:val="32"/>
          <w14:textFill>
            <w14:solidFill>
              <w14:schemeClr w14:val="tx1"/>
            </w14:solidFill>
          </w14:textFill>
        </w:rPr>
      </w:pPr>
    </w:p>
    <w:p>
      <w:pPr>
        <w:spacing w:line="580" w:lineRule="exact"/>
        <w:ind w:firstLine="640" w:firstLineChars="200"/>
        <w:rPr>
          <w:color w:val="000000" w:themeColor="text1"/>
          <w:sz w:val="32"/>
          <w:szCs w:val="32"/>
          <w14:textFill>
            <w14:solidFill>
              <w14:schemeClr w14:val="tx1"/>
            </w14:solidFill>
          </w14:textFill>
        </w:rPr>
      </w:pPr>
    </w:p>
    <w:p>
      <w:pPr>
        <w:spacing w:line="580" w:lineRule="exact"/>
        <w:ind w:firstLine="640" w:firstLineChars="200"/>
        <w:rPr>
          <w:color w:val="000000" w:themeColor="text1"/>
          <w:sz w:val="32"/>
          <w:szCs w:val="32"/>
          <w14:textFill>
            <w14:solidFill>
              <w14:schemeClr w14:val="tx1"/>
            </w14:solidFill>
          </w14:textFill>
        </w:rPr>
      </w:pPr>
    </w:p>
    <w:p>
      <w:pPr>
        <w:spacing w:line="580" w:lineRule="exact"/>
        <w:ind w:firstLine="640" w:firstLineChars="200"/>
        <w:rPr>
          <w:color w:val="000000" w:themeColor="text1"/>
          <w:sz w:val="32"/>
          <w:szCs w:val="32"/>
          <w14:textFill>
            <w14:solidFill>
              <w14:schemeClr w14:val="tx1"/>
            </w14:solidFill>
          </w14:textFill>
        </w:rPr>
      </w:pPr>
    </w:p>
    <w:p>
      <w:pPr>
        <w:spacing w:line="580" w:lineRule="exact"/>
        <w:ind w:firstLine="640" w:firstLineChars="200"/>
        <w:rPr>
          <w:color w:val="000000" w:themeColor="text1"/>
          <w:sz w:val="32"/>
          <w:szCs w:val="32"/>
          <w14:textFill>
            <w14:solidFill>
              <w14:schemeClr w14:val="tx1"/>
            </w14:solidFill>
          </w14:textFill>
        </w:rPr>
      </w:pPr>
    </w:p>
    <w:p>
      <w:pPr>
        <w:rPr>
          <w:rFonts w:eastAsia="方正楷体_GBK"/>
          <w:color w:val="000000" w:themeColor="text1"/>
          <w:sz w:val="36"/>
          <w:szCs w:val="32"/>
          <w14:textFill>
            <w14:solidFill>
              <w14:schemeClr w14:val="tx1"/>
            </w14:solidFill>
          </w14:textFill>
        </w:rPr>
      </w:pPr>
      <w:r>
        <w:rPr>
          <w:rFonts w:eastAsia="方正楷体_GBK"/>
          <w:color w:val="000000" w:themeColor="text1"/>
          <w:sz w:val="36"/>
          <w:szCs w:val="32"/>
          <w14:textFill>
            <w14:solidFill>
              <w14:schemeClr w14:val="tx1"/>
            </w14:solidFill>
          </w14:textFill>
        </w:rPr>
        <w:br w:type="page"/>
      </w:r>
    </w:p>
    <w:p>
      <w:pPr>
        <w:pStyle w:val="2"/>
        <w:ind w:firstLine="331"/>
      </w:pPr>
    </w:p>
    <w:p>
      <w:pPr>
        <w:spacing w:line="580" w:lineRule="exact"/>
        <w:ind w:firstLine="640" w:firstLineChars="200"/>
        <w:rPr>
          <w:color w:val="000000" w:themeColor="text1"/>
          <w:sz w:val="32"/>
          <w:szCs w:val="32"/>
          <w14:textFill>
            <w14:solidFill>
              <w14:schemeClr w14:val="tx1"/>
            </w14:solidFill>
          </w14:textFill>
        </w:rPr>
      </w:pPr>
    </w:p>
    <w:p>
      <w:pPr>
        <w:pStyle w:val="18"/>
        <w:spacing w:line="580" w:lineRule="exact"/>
        <w:rPr>
          <w:color w:val="000000" w:themeColor="text1"/>
          <w14:textFill>
            <w14:solidFill>
              <w14:schemeClr w14:val="tx1"/>
            </w14:solidFill>
          </w14:textFill>
        </w:rPr>
      </w:pPr>
    </w:p>
    <w:p>
      <w:pPr>
        <w:spacing w:line="580" w:lineRule="exact"/>
        <w:rPr>
          <w:color w:val="000000" w:themeColor="text1"/>
          <w14:textFill>
            <w14:solidFill>
              <w14:schemeClr w14:val="tx1"/>
            </w14:solidFill>
          </w14:textFill>
        </w:rPr>
        <w:sectPr>
          <w:pgSz w:w="11906" w:h="16838"/>
          <w:pgMar w:top="1554" w:right="1690" w:bottom="1610" w:left="1690" w:header="851" w:footer="992" w:gutter="0"/>
          <w:pgNumType w:start="1"/>
          <w:cols w:space="425" w:num="1"/>
          <w:docGrid w:type="lines" w:linePitch="312" w:charSpace="0"/>
        </w:sectPr>
      </w:pPr>
    </w:p>
    <w:p>
      <w:pPr>
        <w:pStyle w:val="18"/>
        <w:spacing w:line="580" w:lineRule="exact"/>
        <w:rPr>
          <w:color w:val="000000" w:themeColor="text1"/>
          <w14:textFill>
            <w14:solidFill>
              <w14:schemeClr w14:val="tx1"/>
            </w14:solidFill>
          </w14:textFill>
        </w:rPr>
      </w:pPr>
    </w:p>
    <w:p>
      <w:pPr>
        <w:spacing w:line="580" w:lineRule="exact"/>
        <w:jc w:val="center"/>
        <w:rPr>
          <w:rFonts w:eastAsia="方正黑体_GBK"/>
          <w:color w:val="000000" w:themeColor="text1"/>
          <w:sz w:val="32"/>
          <w:szCs w:val="32"/>
          <w14:textFill>
            <w14:solidFill>
              <w14:schemeClr w14:val="tx1"/>
            </w14:solidFill>
          </w14:textFill>
        </w:rPr>
      </w:pPr>
      <w:r>
        <w:rPr>
          <w:rFonts w:hint="eastAsia" w:eastAsia="方正黑体_GBK"/>
          <w:color w:val="000000" w:themeColor="text1"/>
          <w:sz w:val="32"/>
          <w:szCs w:val="32"/>
          <w14:textFill>
            <w14:solidFill>
              <w14:schemeClr w14:val="tx1"/>
            </w14:solidFill>
          </w14:textFill>
        </w:rPr>
        <w:t>目  录</w:t>
      </w:r>
    </w:p>
    <w:p>
      <w:pPr>
        <w:pStyle w:val="18"/>
        <w:spacing w:line="580" w:lineRule="exact"/>
        <w:rPr>
          <w:color w:val="000000" w:themeColor="text1"/>
          <w14:textFill>
            <w14:solidFill>
              <w14:schemeClr w14:val="tx1"/>
            </w14:solidFill>
          </w14:textFill>
        </w:rPr>
      </w:pPr>
    </w:p>
    <w:p>
      <w:pPr>
        <w:pStyle w:val="18"/>
        <w:tabs>
          <w:tab w:val="right" w:leader="dot" w:pos="8526"/>
          <w:tab w:val="clear" w:pos="8516"/>
        </w:tabs>
        <w:rPr>
          <w:sz w:val="28"/>
          <w:szCs w:val="28"/>
        </w:rPr>
      </w:pP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TOC \o "1-2" \h \z \u </w:instrText>
      </w:r>
      <w:r>
        <w:rPr>
          <w:color w:val="000000" w:themeColor="text1"/>
          <w:sz w:val="28"/>
          <w:szCs w:val="28"/>
          <w14:textFill>
            <w14:solidFill>
              <w14:schemeClr w14:val="tx1"/>
            </w14:solidFill>
          </w14:textFill>
        </w:rPr>
        <w:fldChar w:fldCharType="separate"/>
      </w:r>
      <w:r>
        <w:fldChar w:fldCharType="begin"/>
      </w:r>
      <w:r>
        <w:instrText xml:space="preserve"> HYPERLINK \l "_Toc6339" </w:instrText>
      </w:r>
      <w:r>
        <w:fldChar w:fldCharType="separate"/>
      </w:r>
      <w:r>
        <w:rPr>
          <w:rFonts w:eastAsia="方正黑体_GBK"/>
          <w:sz w:val="28"/>
          <w:szCs w:val="28"/>
        </w:rPr>
        <w:t xml:space="preserve">第一章  </w:t>
      </w:r>
      <w:r>
        <w:rPr>
          <w:rFonts w:hint="eastAsia" w:eastAsia="方正黑体_GBK"/>
          <w:sz w:val="28"/>
          <w:szCs w:val="28"/>
        </w:rPr>
        <w:t>“</w:t>
      </w:r>
      <w:r>
        <w:rPr>
          <w:rFonts w:eastAsia="方正黑体_GBK"/>
          <w:sz w:val="28"/>
          <w:szCs w:val="28"/>
        </w:rPr>
        <w:t>十三五</w:t>
      </w:r>
      <w:r>
        <w:rPr>
          <w:rFonts w:hint="eastAsia" w:eastAsia="方正黑体_GBK"/>
          <w:sz w:val="28"/>
          <w:szCs w:val="28"/>
        </w:rPr>
        <w:t>”</w:t>
      </w:r>
      <w:r>
        <w:rPr>
          <w:rFonts w:eastAsia="方正黑体_GBK"/>
          <w:sz w:val="28"/>
          <w:szCs w:val="28"/>
        </w:rPr>
        <w:t>发展回顾</w:t>
      </w:r>
      <w:r>
        <w:rPr>
          <w:sz w:val="28"/>
          <w:szCs w:val="28"/>
        </w:rPr>
        <w:tab/>
      </w:r>
      <w:r>
        <w:rPr>
          <w:sz w:val="28"/>
          <w:szCs w:val="28"/>
        </w:rPr>
        <w:fldChar w:fldCharType="begin"/>
      </w:r>
      <w:r>
        <w:rPr>
          <w:sz w:val="28"/>
          <w:szCs w:val="28"/>
        </w:rPr>
        <w:instrText xml:space="preserve"> PAGEREF _Toc6339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"_Toc21654" </w:instrText>
      </w:r>
      <w:r>
        <w:fldChar w:fldCharType="separate"/>
      </w:r>
      <w:r>
        <w:rPr>
          <w:rFonts w:eastAsia="方正楷体_GBK"/>
          <w:sz w:val="28"/>
          <w:szCs w:val="28"/>
        </w:rPr>
        <w:t xml:space="preserve">第一节  </w:t>
      </w:r>
      <w:r>
        <w:rPr>
          <w:rFonts w:hint="eastAsia" w:eastAsia="方正楷体_GBK"/>
          <w:sz w:val="28"/>
          <w:szCs w:val="28"/>
        </w:rPr>
        <w:t>“</w:t>
      </w:r>
      <w:r>
        <w:rPr>
          <w:rFonts w:eastAsia="方正楷体_GBK"/>
          <w:sz w:val="28"/>
          <w:szCs w:val="28"/>
        </w:rPr>
        <w:t>十三五</w:t>
      </w:r>
      <w:r>
        <w:rPr>
          <w:rFonts w:hint="eastAsia" w:eastAsia="方正楷体_GBK"/>
          <w:sz w:val="28"/>
          <w:szCs w:val="28"/>
        </w:rPr>
        <w:t>”</w:t>
      </w:r>
      <w:r>
        <w:rPr>
          <w:rFonts w:eastAsia="方正楷体_GBK"/>
          <w:sz w:val="28"/>
          <w:szCs w:val="28"/>
        </w:rPr>
        <w:t>工业经济发展取得成绩</w:t>
      </w:r>
      <w:r>
        <w:rPr>
          <w:sz w:val="28"/>
          <w:szCs w:val="28"/>
        </w:rPr>
        <w:tab/>
      </w:r>
      <w:r>
        <w:rPr>
          <w:sz w:val="28"/>
          <w:szCs w:val="28"/>
        </w:rPr>
        <w:fldChar w:fldCharType="begin"/>
      </w:r>
      <w:r>
        <w:rPr>
          <w:sz w:val="28"/>
          <w:szCs w:val="28"/>
        </w:rPr>
        <w:instrText xml:space="preserve"> PAGEREF _Toc21654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"_Toc19449" </w:instrText>
      </w:r>
      <w:r>
        <w:fldChar w:fldCharType="separate"/>
      </w:r>
      <w:r>
        <w:rPr>
          <w:rFonts w:eastAsia="方正楷体_GBK"/>
          <w:sz w:val="28"/>
          <w:szCs w:val="28"/>
        </w:rPr>
        <w:t xml:space="preserve">第二节  </w:t>
      </w:r>
      <w:r>
        <w:rPr>
          <w:rFonts w:hint="eastAsia" w:eastAsia="方正楷体_GBK"/>
          <w:sz w:val="28"/>
          <w:szCs w:val="28"/>
        </w:rPr>
        <w:t>“</w:t>
      </w:r>
      <w:r>
        <w:rPr>
          <w:rFonts w:eastAsia="方正楷体_GBK"/>
          <w:sz w:val="28"/>
          <w:szCs w:val="28"/>
        </w:rPr>
        <w:t>十三五</w:t>
      </w:r>
      <w:r>
        <w:rPr>
          <w:rFonts w:hint="eastAsia" w:eastAsia="方正楷体_GBK"/>
          <w:sz w:val="28"/>
          <w:szCs w:val="28"/>
        </w:rPr>
        <w:t>”</w:t>
      </w:r>
      <w:r>
        <w:rPr>
          <w:rFonts w:eastAsia="方正楷体_GBK"/>
          <w:sz w:val="28"/>
          <w:szCs w:val="28"/>
        </w:rPr>
        <w:t>工业经济发展存在问题</w:t>
      </w:r>
      <w:r>
        <w:rPr>
          <w:sz w:val="28"/>
          <w:szCs w:val="28"/>
        </w:rPr>
        <w:tab/>
      </w:r>
      <w:r>
        <w:rPr>
          <w:sz w:val="28"/>
          <w:szCs w:val="28"/>
        </w:rPr>
        <w:fldChar w:fldCharType="begin"/>
      </w:r>
      <w:r>
        <w:rPr>
          <w:sz w:val="28"/>
          <w:szCs w:val="28"/>
        </w:rPr>
        <w:instrText xml:space="preserve"> PAGEREF _Toc19449 \h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18"/>
        <w:tabs>
          <w:tab w:val="right" w:leader="dot" w:pos="8526"/>
          <w:tab w:val="clear" w:pos="8516"/>
        </w:tabs>
        <w:rPr>
          <w:sz w:val="28"/>
          <w:szCs w:val="28"/>
        </w:rPr>
      </w:pPr>
      <w:r>
        <w:fldChar w:fldCharType="begin"/>
      </w:r>
      <w:r>
        <w:instrText xml:space="preserve"> HYPERLINK \l "_Toc29221" </w:instrText>
      </w:r>
      <w:r>
        <w:fldChar w:fldCharType="separate"/>
      </w:r>
      <w:r>
        <w:rPr>
          <w:rFonts w:hint="eastAsia" w:eastAsia="方正黑体_GBK"/>
          <w:sz w:val="28"/>
          <w:szCs w:val="28"/>
        </w:rPr>
        <w:t>第二章</w:t>
      </w:r>
      <w:r>
        <w:rPr>
          <w:rFonts w:eastAsia="方正黑体_GBK"/>
          <w:sz w:val="28"/>
          <w:szCs w:val="28"/>
        </w:rPr>
        <w:t xml:space="preserve">  </w:t>
      </w:r>
      <w:r>
        <w:rPr>
          <w:rFonts w:hint="eastAsia" w:eastAsia="方正黑体_GBK"/>
          <w:sz w:val="28"/>
          <w:szCs w:val="28"/>
        </w:rPr>
        <w:t>“十四五”形势分析</w:t>
      </w:r>
      <w:r>
        <w:rPr>
          <w:sz w:val="28"/>
          <w:szCs w:val="28"/>
        </w:rPr>
        <w:tab/>
      </w:r>
      <w:r>
        <w:rPr>
          <w:sz w:val="28"/>
          <w:szCs w:val="28"/>
        </w:rPr>
        <w:fldChar w:fldCharType="begin"/>
      </w:r>
      <w:r>
        <w:rPr>
          <w:sz w:val="28"/>
          <w:szCs w:val="28"/>
        </w:rPr>
        <w:instrText xml:space="preserve"> PAGEREF _Toc29221 \h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"_Toc29653" </w:instrText>
      </w:r>
      <w:r>
        <w:fldChar w:fldCharType="separate"/>
      </w:r>
      <w:r>
        <w:rPr>
          <w:rFonts w:hint="eastAsia" w:eastAsia="方正楷体_GBK"/>
          <w:sz w:val="28"/>
          <w:szCs w:val="28"/>
        </w:rPr>
        <w:t>第一节  发展机遇</w:t>
      </w:r>
      <w:r>
        <w:rPr>
          <w:sz w:val="28"/>
          <w:szCs w:val="28"/>
        </w:rPr>
        <w:tab/>
      </w:r>
      <w:r>
        <w:rPr>
          <w:sz w:val="28"/>
          <w:szCs w:val="28"/>
        </w:rPr>
        <w:fldChar w:fldCharType="begin"/>
      </w:r>
      <w:r>
        <w:rPr>
          <w:sz w:val="28"/>
          <w:szCs w:val="28"/>
        </w:rPr>
        <w:instrText xml:space="preserve"> PAGEREF _Toc29653 \h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"_Toc1693" </w:instrText>
      </w:r>
      <w:r>
        <w:fldChar w:fldCharType="separate"/>
      </w:r>
      <w:r>
        <w:rPr>
          <w:rFonts w:hint="eastAsia" w:eastAsia="方正楷体_GBK"/>
          <w:sz w:val="28"/>
          <w:szCs w:val="28"/>
        </w:rPr>
        <w:t>第二节  面临挑战</w:t>
      </w:r>
      <w:r>
        <w:rPr>
          <w:sz w:val="28"/>
          <w:szCs w:val="28"/>
        </w:rPr>
        <w:tab/>
      </w:r>
      <w:r>
        <w:rPr>
          <w:sz w:val="28"/>
          <w:szCs w:val="28"/>
        </w:rPr>
        <w:fldChar w:fldCharType="begin"/>
      </w:r>
      <w:r>
        <w:rPr>
          <w:sz w:val="28"/>
          <w:szCs w:val="28"/>
        </w:rPr>
        <w:instrText xml:space="preserve"> PAGEREF _Toc1693 \h </w:instrText>
      </w:r>
      <w:r>
        <w:rPr>
          <w:sz w:val="28"/>
          <w:szCs w:val="28"/>
        </w:rPr>
        <w:fldChar w:fldCharType="separate"/>
      </w:r>
      <w:r>
        <w:rPr>
          <w:sz w:val="28"/>
          <w:szCs w:val="28"/>
        </w:rPr>
        <w:t>16</w:t>
      </w:r>
      <w:r>
        <w:rPr>
          <w:sz w:val="28"/>
          <w:szCs w:val="28"/>
        </w:rPr>
        <w:fldChar w:fldCharType="end"/>
      </w:r>
      <w:r>
        <w:rPr>
          <w:sz w:val="28"/>
          <w:szCs w:val="28"/>
        </w:rPr>
        <w:fldChar w:fldCharType="end"/>
      </w:r>
    </w:p>
    <w:p>
      <w:pPr>
        <w:pStyle w:val="18"/>
        <w:tabs>
          <w:tab w:val="right" w:leader="dot" w:pos="8526"/>
          <w:tab w:val="clear" w:pos="8516"/>
        </w:tabs>
        <w:rPr>
          <w:sz w:val="28"/>
          <w:szCs w:val="28"/>
        </w:rPr>
      </w:pPr>
      <w:r>
        <w:fldChar w:fldCharType="begin"/>
      </w:r>
      <w:r>
        <w:instrText xml:space="preserve"> HYPERLINK \l "_Toc26987" </w:instrText>
      </w:r>
      <w:r>
        <w:fldChar w:fldCharType="separate"/>
      </w:r>
      <w:r>
        <w:rPr>
          <w:rFonts w:hint="eastAsia" w:eastAsia="方正黑体_GBK"/>
          <w:sz w:val="28"/>
          <w:szCs w:val="28"/>
        </w:rPr>
        <w:t>第三章  总体要求</w:t>
      </w:r>
      <w:r>
        <w:rPr>
          <w:sz w:val="28"/>
          <w:szCs w:val="28"/>
        </w:rPr>
        <w:tab/>
      </w:r>
      <w:r>
        <w:rPr>
          <w:sz w:val="28"/>
          <w:szCs w:val="28"/>
        </w:rPr>
        <w:fldChar w:fldCharType="begin"/>
      </w:r>
      <w:r>
        <w:rPr>
          <w:sz w:val="28"/>
          <w:szCs w:val="28"/>
        </w:rPr>
        <w:instrText xml:space="preserve"> PAGEREF _Toc26987 \h </w:instrText>
      </w:r>
      <w:r>
        <w:rPr>
          <w:sz w:val="28"/>
          <w:szCs w:val="28"/>
        </w:rPr>
        <w:fldChar w:fldCharType="separate"/>
      </w:r>
      <w:r>
        <w:rPr>
          <w:sz w:val="28"/>
          <w:szCs w:val="28"/>
        </w:rPr>
        <w:t>19</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"_Toc1921" </w:instrText>
      </w:r>
      <w:r>
        <w:fldChar w:fldCharType="separate"/>
      </w:r>
      <w:r>
        <w:rPr>
          <w:rFonts w:hint="eastAsia" w:eastAsia="方正楷体_GBK"/>
          <w:sz w:val="28"/>
          <w:szCs w:val="28"/>
        </w:rPr>
        <w:t>第一节  指导思想</w:t>
      </w:r>
      <w:r>
        <w:rPr>
          <w:sz w:val="28"/>
          <w:szCs w:val="28"/>
        </w:rPr>
        <w:tab/>
      </w:r>
      <w:r>
        <w:rPr>
          <w:sz w:val="28"/>
          <w:szCs w:val="28"/>
        </w:rPr>
        <w:fldChar w:fldCharType="begin"/>
      </w:r>
      <w:r>
        <w:rPr>
          <w:sz w:val="28"/>
          <w:szCs w:val="28"/>
        </w:rPr>
        <w:instrText xml:space="preserve"> PAGEREF _Toc1921 \h </w:instrText>
      </w:r>
      <w:r>
        <w:rPr>
          <w:sz w:val="28"/>
          <w:szCs w:val="28"/>
        </w:rPr>
        <w:fldChar w:fldCharType="separate"/>
      </w:r>
      <w:r>
        <w:rPr>
          <w:sz w:val="28"/>
          <w:szCs w:val="28"/>
        </w:rPr>
        <w:t>19</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"_Toc20975" </w:instrText>
      </w:r>
      <w:r>
        <w:fldChar w:fldCharType="separate"/>
      </w:r>
      <w:r>
        <w:rPr>
          <w:rFonts w:hint="eastAsia" w:eastAsia="方正楷体_GBK"/>
          <w:sz w:val="28"/>
          <w:szCs w:val="28"/>
        </w:rPr>
        <w:t>第二节  发展原则</w:t>
      </w:r>
      <w:r>
        <w:rPr>
          <w:sz w:val="28"/>
          <w:szCs w:val="28"/>
        </w:rPr>
        <w:tab/>
      </w:r>
      <w:r>
        <w:rPr>
          <w:sz w:val="28"/>
          <w:szCs w:val="28"/>
        </w:rPr>
        <w:fldChar w:fldCharType="begin"/>
      </w:r>
      <w:r>
        <w:rPr>
          <w:sz w:val="28"/>
          <w:szCs w:val="28"/>
        </w:rPr>
        <w:instrText xml:space="preserve"> PAGEREF _Toc20975 \h </w:instrText>
      </w:r>
      <w:r>
        <w:rPr>
          <w:sz w:val="28"/>
          <w:szCs w:val="28"/>
        </w:rPr>
        <w:fldChar w:fldCharType="separate"/>
      </w:r>
      <w:r>
        <w:rPr>
          <w:sz w:val="28"/>
          <w:szCs w:val="28"/>
        </w:rPr>
        <w:t>19</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"_Toc23560" </w:instrText>
      </w:r>
      <w:r>
        <w:fldChar w:fldCharType="separate"/>
      </w:r>
      <w:r>
        <w:rPr>
          <w:rFonts w:hint="eastAsia" w:eastAsia="方正楷体_GBK"/>
          <w:sz w:val="28"/>
          <w:szCs w:val="28"/>
        </w:rPr>
        <w:t>第三节  战略定位</w:t>
      </w:r>
      <w:r>
        <w:rPr>
          <w:sz w:val="28"/>
          <w:szCs w:val="28"/>
        </w:rPr>
        <w:tab/>
      </w:r>
      <w:r>
        <w:rPr>
          <w:sz w:val="28"/>
          <w:szCs w:val="28"/>
        </w:rPr>
        <w:fldChar w:fldCharType="begin"/>
      </w:r>
      <w:r>
        <w:rPr>
          <w:sz w:val="28"/>
          <w:szCs w:val="28"/>
        </w:rPr>
        <w:instrText xml:space="preserve"> PAGEREF _Toc23560 \h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"_Toc15172" </w:instrText>
      </w:r>
      <w:r>
        <w:fldChar w:fldCharType="separate"/>
      </w:r>
      <w:r>
        <w:rPr>
          <w:rFonts w:hint="eastAsia" w:eastAsia="方正楷体_GBK"/>
          <w:sz w:val="28"/>
          <w:szCs w:val="28"/>
        </w:rPr>
        <w:t>第四节  远景目标</w:t>
      </w:r>
      <w:r>
        <w:rPr>
          <w:sz w:val="28"/>
          <w:szCs w:val="28"/>
        </w:rPr>
        <w:tab/>
      </w:r>
      <w:r>
        <w:rPr>
          <w:sz w:val="28"/>
          <w:szCs w:val="28"/>
        </w:rPr>
        <w:fldChar w:fldCharType="begin"/>
      </w:r>
      <w:r>
        <w:rPr>
          <w:sz w:val="28"/>
          <w:szCs w:val="28"/>
        </w:rPr>
        <w:instrText xml:space="preserve"> PAGEREF _Toc15172 \h </w:instrText>
      </w:r>
      <w:r>
        <w:rPr>
          <w:sz w:val="28"/>
          <w:szCs w:val="28"/>
        </w:rPr>
        <w:fldChar w:fldCharType="separate"/>
      </w:r>
      <w:r>
        <w:rPr>
          <w:sz w:val="28"/>
          <w:szCs w:val="28"/>
        </w:rPr>
        <w:t>22</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"_Toc14313" </w:instrText>
      </w:r>
      <w:r>
        <w:fldChar w:fldCharType="separate"/>
      </w:r>
      <w:r>
        <w:rPr>
          <w:rFonts w:hint="eastAsia" w:eastAsia="方正楷体_GBK"/>
          <w:sz w:val="28"/>
          <w:szCs w:val="28"/>
        </w:rPr>
        <w:t>第五节  发展目标</w:t>
      </w:r>
      <w:r>
        <w:rPr>
          <w:sz w:val="28"/>
          <w:szCs w:val="28"/>
        </w:rPr>
        <w:tab/>
      </w:r>
      <w:r>
        <w:rPr>
          <w:sz w:val="28"/>
          <w:szCs w:val="28"/>
        </w:rPr>
        <w:fldChar w:fldCharType="begin"/>
      </w:r>
      <w:r>
        <w:rPr>
          <w:sz w:val="28"/>
          <w:szCs w:val="28"/>
        </w:rPr>
        <w:instrText xml:space="preserve"> PAGEREF _Toc14313 \h </w:instrText>
      </w:r>
      <w:r>
        <w:rPr>
          <w:sz w:val="28"/>
          <w:szCs w:val="28"/>
        </w:rPr>
        <w:fldChar w:fldCharType="separate"/>
      </w:r>
      <w:r>
        <w:rPr>
          <w:sz w:val="28"/>
          <w:szCs w:val="28"/>
        </w:rPr>
        <w:t>22</w:t>
      </w:r>
      <w:r>
        <w:rPr>
          <w:sz w:val="28"/>
          <w:szCs w:val="28"/>
        </w:rPr>
        <w:fldChar w:fldCharType="end"/>
      </w:r>
      <w:r>
        <w:rPr>
          <w:sz w:val="28"/>
          <w:szCs w:val="28"/>
        </w:rPr>
        <w:fldChar w:fldCharType="end"/>
      </w:r>
    </w:p>
    <w:p>
      <w:pPr>
        <w:pStyle w:val="18"/>
        <w:tabs>
          <w:tab w:val="right" w:leader="dot" w:pos="8526"/>
          <w:tab w:val="clear" w:pos="8516"/>
        </w:tabs>
        <w:rPr>
          <w:sz w:val="28"/>
          <w:szCs w:val="28"/>
        </w:rPr>
      </w:pPr>
      <w:r>
        <w:fldChar w:fldCharType="begin"/>
      </w:r>
      <w:r>
        <w:instrText xml:space="preserve"> HYPERLINK \l "_Toc31266" </w:instrText>
      </w:r>
      <w:r>
        <w:fldChar w:fldCharType="separate"/>
      </w:r>
      <w:r>
        <w:rPr>
          <w:rFonts w:hint="eastAsia" w:eastAsia="方正黑体_GBK"/>
          <w:sz w:val="28"/>
          <w:szCs w:val="28"/>
        </w:rPr>
        <w:t>第四章  产业重点方向</w:t>
      </w:r>
      <w:r>
        <w:rPr>
          <w:sz w:val="28"/>
          <w:szCs w:val="28"/>
        </w:rPr>
        <w:tab/>
      </w:r>
      <w:r>
        <w:rPr>
          <w:sz w:val="28"/>
          <w:szCs w:val="28"/>
        </w:rPr>
        <w:fldChar w:fldCharType="begin"/>
      </w:r>
      <w:r>
        <w:rPr>
          <w:sz w:val="28"/>
          <w:szCs w:val="28"/>
        </w:rPr>
        <w:instrText xml:space="preserve"> PAGEREF _Toc31266 \h </w:instrText>
      </w:r>
      <w:r>
        <w:rPr>
          <w:sz w:val="28"/>
          <w:szCs w:val="28"/>
        </w:rPr>
        <w:fldChar w:fldCharType="separate"/>
      </w:r>
      <w:r>
        <w:rPr>
          <w:sz w:val="28"/>
          <w:szCs w:val="28"/>
        </w:rPr>
        <w:t>27</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"_Toc13678" </w:instrText>
      </w:r>
      <w:r>
        <w:fldChar w:fldCharType="separate"/>
      </w:r>
      <w:r>
        <w:rPr>
          <w:rFonts w:hint="eastAsia" w:eastAsia="方正楷体_GBK"/>
          <w:sz w:val="28"/>
          <w:szCs w:val="28"/>
        </w:rPr>
        <w:t>第一节  主导产业重点方向</w:t>
      </w:r>
      <w:r>
        <w:rPr>
          <w:sz w:val="28"/>
          <w:szCs w:val="28"/>
        </w:rPr>
        <w:tab/>
      </w:r>
      <w:r>
        <w:rPr>
          <w:sz w:val="28"/>
          <w:szCs w:val="28"/>
        </w:rPr>
        <w:fldChar w:fldCharType="begin"/>
      </w:r>
      <w:r>
        <w:rPr>
          <w:sz w:val="28"/>
          <w:szCs w:val="28"/>
        </w:rPr>
        <w:instrText xml:space="preserve"> PAGEREF _Toc13678 \h </w:instrText>
      </w:r>
      <w:r>
        <w:rPr>
          <w:sz w:val="28"/>
          <w:szCs w:val="28"/>
        </w:rPr>
        <w:fldChar w:fldCharType="separate"/>
      </w:r>
      <w:r>
        <w:rPr>
          <w:sz w:val="28"/>
          <w:szCs w:val="28"/>
        </w:rPr>
        <w:t>27</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"_Toc15952" </w:instrText>
      </w:r>
      <w:r>
        <w:fldChar w:fldCharType="separate"/>
      </w:r>
      <w:r>
        <w:rPr>
          <w:rFonts w:hint="eastAsia" w:eastAsia="方正楷体_GBK"/>
          <w:sz w:val="28"/>
          <w:szCs w:val="28"/>
        </w:rPr>
        <w:t>第二节  先导产业重点方向</w:t>
      </w:r>
      <w:r>
        <w:rPr>
          <w:sz w:val="28"/>
          <w:szCs w:val="28"/>
        </w:rPr>
        <w:tab/>
      </w:r>
      <w:r>
        <w:rPr>
          <w:sz w:val="28"/>
          <w:szCs w:val="28"/>
        </w:rPr>
        <w:fldChar w:fldCharType="begin"/>
      </w:r>
      <w:r>
        <w:rPr>
          <w:sz w:val="28"/>
          <w:szCs w:val="28"/>
        </w:rPr>
        <w:instrText xml:space="preserve"> PAGEREF _Toc15952 \h </w:instrText>
      </w:r>
      <w:r>
        <w:rPr>
          <w:sz w:val="28"/>
          <w:szCs w:val="28"/>
        </w:rPr>
        <w:fldChar w:fldCharType="separate"/>
      </w:r>
      <w:r>
        <w:rPr>
          <w:sz w:val="28"/>
          <w:szCs w:val="28"/>
        </w:rPr>
        <w:t>46</w:t>
      </w:r>
      <w:r>
        <w:rPr>
          <w:sz w:val="28"/>
          <w:szCs w:val="28"/>
        </w:rPr>
        <w:fldChar w:fldCharType="end"/>
      </w:r>
      <w:r>
        <w:rPr>
          <w:sz w:val="28"/>
          <w:szCs w:val="28"/>
        </w:rPr>
        <w:fldChar w:fldCharType="end"/>
      </w:r>
    </w:p>
    <w:p>
      <w:pPr>
        <w:pStyle w:val="18"/>
        <w:tabs>
          <w:tab w:val="right" w:leader="dot" w:pos="8526"/>
          <w:tab w:val="clear" w:pos="8516"/>
        </w:tabs>
        <w:rPr>
          <w:sz w:val="28"/>
          <w:szCs w:val="28"/>
        </w:rPr>
      </w:pPr>
      <w:r>
        <w:fldChar w:fldCharType="begin"/>
      </w:r>
      <w:r>
        <w:instrText xml:space="preserve"> HYPERLINK \l "_Toc28997" </w:instrText>
      </w:r>
      <w:r>
        <w:fldChar w:fldCharType="separate"/>
      </w:r>
      <w:r>
        <w:rPr>
          <w:rFonts w:hint="eastAsia" w:eastAsia="方正黑体_GBK"/>
          <w:sz w:val="28"/>
          <w:szCs w:val="28"/>
        </w:rPr>
        <w:t>第五章  产业布局</w:t>
      </w:r>
      <w:r>
        <w:rPr>
          <w:sz w:val="28"/>
          <w:szCs w:val="28"/>
        </w:rPr>
        <w:tab/>
      </w:r>
      <w:r>
        <w:rPr>
          <w:sz w:val="28"/>
          <w:szCs w:val="28"/>
        </w:rPr>
        <w:fldChar w:fldCharType="begin"/>
      </w:r>
      <w:r>
        <w:rPr>
          <w:sz w:val="28"/>
          <w:szCs w:val="28"/>
        </w:rPr>
        <w:instrText xml:space="preserve"> PAGEREF _Toc28997 \h </w:instrText>
      </w:r>
      <w:r>
        <w:rPr>
          <w:sz w:val="28"/>
          <w:szCs w:val="28"/>
        </w:rPr>
        <w:fldChar w:fldCharType="separate"/>
      </w:r>
      <w:r>
        <w:rPr>
          <w:sz w:val="28"/>
          <w:szCs w:val="28"/>
        </w:rPr>
        <w:t>52</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"_Toc13763" </w:instrText>
      </w:r>
      <w:r>
        <w:fldChar w:fldCharType="separate"/>
      </w:r>
      <w:r>
        <w:rPr>
          <w:rFonts w:hint="eastAsia" w:eastAsia="方正楷体_GBK"/>
          <w:sz w:val="28"/>
          <w:szCs w:val="28"/>
        </w:rPr>
        <w:t>第一节  沭阳县产业布局</w:t>
      </w:r>
      <w:r>
        <w:rPr>
          <w:sz w:val="28"/>
          <w:szCs w:val="28"/>
        </w:rPr>
        <w:tab/>
      </w:r>
      <w:r>
        <w:rPr>
          <w:sz w:val="28"/>
          <w:szCs w:val="28"/>
        </w:rPr>
        <w:fldChar w:fldCharType="begin"/>
      </w:r>
      <w:r>
        <w:rPr>
          <w:sz w:val="28"/>
          <w:szCs w:val="28"/>
        </w:rPr>
        <w:instrText xml:space="preserve"> PAGEREF _Toc13763 \h </w:instrText>
      </w:r>
      <w:r>
        <w:rPr>
          <w:sz w:val="28"/>
          <w:szCs w:val="28"/>
        </w:rPr>
        <w:fldChar w:fldCharType="separate"/>
      </w:r>
      <w:r>
        <w:rPr>
          <w:sz w:val="28"/>
          <w:szCs w:val="28"/>
        </w:rPr>
        <w:t>52</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"_Toc15781" </w:instrText>
      </w:r>
      <w:r>
        <w:fldChar w:fldCharType="separate"/>
      </w:r>
      <w:r>
        <w:rPr>
          <w:rFonts w:hint="eastAsia" w:eastAsia="方正楷体_GBK"/>
          <w:sz w:val="28"/>
          <w:szCs w:val="28"/>
        </w:rPr>
        <w:t>第二节  泗阳县产业布局</w:t>
      </w:r>
      <w:r>
        <w:rPr>
          <w:sz w:val="28"/>
          <w:szCs w:val="28"/>
        </w:rPr>
        <w:tab/>
      </w:r>
      <w:r>
        <w:rPr>
          <w:sz w:val="28"/>
          <w:szCs w:val="28"/>
        </w:rPr>
        <w:fldChar w:fldCharType="begin"/>
      </w:r>
      <w:r>
        <w:rPr>
          <w:sz w:val="28"/>
          <w:szCs w:val="28"/>
        </w:rPr>
        <w:instrText xml:space="preserve"> PAGEREF _Toc15781 \h </w:instrText>
      </w:r>
      <w:r>
        <w:rPr>
          <w:sz w:val="28"/>
          <w:szCs w:val="28"/>
        </w:rPr>
        <w:fldChar w:fldCharType="separate"/>
      </w:r>
      <w:r>
        <w:rPr>
          <w:sz w:val="28"/>
          <w:szCs w:val="28"/>
        </w:rPr>
        <w:t>53</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"_Toc7584" </w:instrText>
      </w:r>
      <w:r>
        <w:fldChar w:fldCharType="separate"/>
      </w:r>
      <w:r>
        <w:rPr>
          <w:rFonts w:hint="eastAsia" w:eastAsia="方正楷体_GBK"/>
          <w:sz w:val="28"/>
          <w:szCs w:val="28"/>
        </w:rPr>
        <w:t>第三节  泗洪县产业布局</w:t>
      </w:r>
      <w:r>
        <w:rPr>
          <w:sz w:val="28"/>
          <w:szCs w:val="28"/>
        </w:rPr>
        <w:tab/>
      </w:r>
      <w:r>
        <w:rPr>
          <w:sz w:val="28"/>
          <w:szCs w:val="28"/>
        </w:rPr>
        <w:fldChar w:fldCharType="begin"/>
      </w:r>
      <w:r>
        <w:rPr>
          <w:sz w:val="28"/>
          <w:szCs w:val="28"/>
        </w:rPr>
        <w:instrText xml:space="preserve"> PAGEREF _Toc7584 \h </w:instrText>
      </w:r>
      <w:r>
        <w:rPr>
          <w:sz w:val="28"/>
          <w:szCs w:val="28"/>
        </w:rPr>
        <w:fldChar w:fldCharType="separate"/>
      </w:r>
      <w:r>
        <w:rPr>
          <w:sz w:val="28"/>
          <w:szCs w:val="28"/>
        </w:rPr>
        <w:t>54</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"_Toc28602" </w:instrText>
      </w:r>
      <w:r>
        <w:fldChar w:fldCharType="separate"/>
      </w:r>
      <w:r>
        <w:rPr>
          <w:rFonts w:hint="eastAsia" w:eastAsia="方正楷体_GBK"/>
          <w:sz w:val="28"/>
          <w:szCs w:val="28"/>
        </w:rPr>
        <w:t>第四节  宿豫区产业布局</w:t>
      </w:r>
      <w:r>
        <w:rPr>
          <w:sz w:val="28"/>
          <w:szCs w:val="28"/>
        </w:rPr>
        <w:tab/>
      </w:r>
      <w:r>
        <w:rPr>
          <w:sz w:val="28"/>
          <w:szCs w:val="28"/>
        </w:rPr>
        <w:fldChar w:fldCharType="begin"/>
      </w:r>
      <w:r>
        <w:rPr>
          <w:sz w:val="28"/>
          <w:szCs w:val="28"/>
        </w:rPr>
        <w:instrText xml:space="preserve"> PAGEREF _Toc28602 \h </w:instrText>
      </w:r>
      <w:r>
        <w:rPr>
          <w:sz w:val="28"/>
          <w:szCs w:val="28"/>
        </w:rPr>
        <w:fldChar w:fldCharType="separate"/>
      </w:r>
      <w:r>
        <w:rPr>
          <w:sz w:val="28"/>
          <w:szCs w:val="28"/>
        </w:rPr>
        <w:t>55</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"_Toc22649" </w:instrText>
      </w:r>
      <w:r>
        <w:fldChar w:fldCharType="separate"/>
      </w:r>
      <w:r>
        <w:rPr>
          <w:rFonts w:hint="eastAsia" w:eastAsia="方正楷体_GBK"/>
          <w:sz w:val="28"/>
          <w:szCs w:val="28"/>
        </w:rPr>
        <w:t>第五节  宿城区产业布局</w:t>
      </w:r>
      <w:r>
        <w:rPr>
          <w:sz w:val="28"/>
          <w:szCs w:val="28"/>
        </w:rPr>
        <w:tab/>
      </w:r>
      <w:r>
        <w:rPr>
          <w:sz w:val="28"/>
          <w:szCs w:val="28"/>
        </w:rPr>
        <w:fldChar w:fldCharType="begin"/>
      </w:r>
      <w:r>
        <w:rPr>
          <w:sz w:val="28"/>
          <w:szCs w:val="28"/>
        </w:rPr>
        <w:instrText xml:space="preserve"> PAGEREF _Toc22649 \h </w:instrText>
      </w:r>
      <w:r>
        <w:rPr>
          <w:sz w:val="28"/>
          <w:szCs w:val="28"/>
        </w:rPr>
        <w:fldChar w:fldCharType="separate"/>
      </w:r>
      <w:r>
        <w:rPr>
          <w:sz w:val="28"/>
          <w:szCs w:val="28"/>
        </w:rPr>
        <w:t>56</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"_Toc8581" </w:instrText>
      </w:r>
      <w:r>
        <w:fldChar w:fldCharType="separate"/>
      </w:r>
      <w:r>
        <w:rPr>
          <w:rFonts w:hint="eastAsia" w:eastAsia="方正楷体_GBK"/>
          <w:sz w:val="28"/>
          <w:szCs w:val="28"/>
        </w:rPr>
        <w:t>第六节  宿迁经开区产业布局</w:t>
      </w:r>
      <w:r>
        <w:rPr>
          <w:sz w:val="28"/>
          <w:szCs w:val="28"/>
        </w:rPr>
        <w:tab/>
      </w:r>
      <w:r>
        <w:rPr>
          <w:sz w:val="28"/>
          <w:szCs w:val="28"/>
        </w:rPr>
        <w:fldChar w:fldCharType="begin"/>
      </w:r>
      <w:r>
        <w:rPr>
          <w:sz w:val="28"/>
          <w:szCs w:val="28"/>
        </w:rPr>
        <w:instrText xml:space="preserve"> PAGEREF _Toc8581 \h </w:instrText>
      </w:r>
      <w:r>
        <w:rPr>
          <w:sz w:val="28"/>
          <w:szCs w:val="28"/>
        </w:rPr>
        <w:fldChar w:fldCharType="separate"/>
      </w:r>
      <w:r>
        <w:rPr>
          <w:sz w:val="28"/>
          <w:szCs w:val="28"/>
        </w:rPr>
        <w:t>57</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"_Toc6968" </w:instrText>
      </w:r>
      <w:r>
        <w:fldChar w:fldCharType="separate"/>
      </w:r>
      <w:r>
        <w:rPr>
          <w:rFonts w:hint="eastAsia" w:eastAsia="方正楷体_GBK"/>
          <w:sz w:val="28"/>
          <w:szCs w:val="28"/>
        </w:rPr>
        <w:t>第七节  市湖滨新区产业布局</w:t>
      </w:r>
      <w:r>
        <w:rPr>
          <w:sz w:val="28"/>
          <w:szCs w:val="28"/>
        </w:rPr>
        <w:tab/>
      </w:r>
      <w:r>
        <w:rPr>
          <w:sz w:val="28"/>
          <w:szCs w:val="28"/>
        </w:rPr>
        <w:fldChar w:fldCharType="begin"/>
      </w:r>
      <w:r>
        <w:rPr>
          <w:sz w:val="28"/>
          <w:szCs w:val="28"/>
        </w:rPr>
        <w:instrText xml:space="preserve"> PAGEREF _Toc6968 \h </w:instrText>
      </w:r>
      <w:r>
        <w:rPr>
          <w:sz w:val="28"/>
          <w:szCs w:val="28"/>
        </w:rPr>
        <w:fldChar w:fldCharType="separate"/>
      </w:r>
      <w:r>
        <w:rPr>
          <w:sz w:val="28"/>
          <w:szCs w:val="28"/>
        </w:rPr>
        <w:t>58</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"_Toc21383" </w:instrText>
      </w:r>
      <w:r>
        <w:fldChar w:fldCharType="separate"/>
      </w:r>
      <w:r>
        <w:rPr>
          <w:rFonts w:hint="eastAsia" w:eastAsia="方正楷体_GBK"/>
          <w:sz w:val="28"/>
          <w:szCs w:val="28"/>
        </w:rPr>
        <w:t>第八节  市洋河新区产业布局</w:t>
      </w:r>
      <w:r>
        <w:rPr>
          <w:sz w:val="28"/>
          <w:szCs w:val="28"/>
        </w:rPr>
        <w:tab/>
      </w:r>
      <w:r>
        <w:rPr>
          <w:sz w:val="28"/>
          <w:szCs w:val="28"/>
        </w:rPr>
        <w:fldChar w:fldCharType="begin"/>
      </w:r>
      <w:r>
        <w:rPr>
          <w:sz w:val="28"/>
          <w:szCs w:val="28"/>
        </w:rPr>
        <w:instrText xml:space="preserve"> PAGEREF _Toc21383 \h </w:instrText>
      </w:r>
      <w:r>
        <w:rPr>
          <w:sz w:val="28"/>
          <w:szCs w:val="28"/>
        </w:rPr>
        <w:fldChar w:fldCharType="separate"/>
      </w:r>
      <w:r>
        <w:rPr>
          <w:sz w:val="28"/>
          <w:szCs w:val="28"/>
        </w:rPr>
        <w:t>59</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"_Toc3732" </w:instrText>
      </w:r>
      <w:r>
        <w:fldChar w:fldCharType="separate"/>
      </w:r>
      <w:r>
        <w:rPr>
          <w:rFonts w:hint="eastAsia" w:eastAsia="方正楷体_GBK"/>
          <w:sz w:val="28"/>
          <w:szCs w:val="28"/>
        </w:rPr>
        <w:t>第九节  苏宿工业园区产业布局</w:t>
      </w:r>
      <w:r>
        <w:rPr>
          <w:sz w:val="28"/>
          <w:szCs w:val="28"/>
        </w:rPr>
        <w:tab/>
      </w:r>
      <w:r>
        <w:rPr>
          <w:sz w:val="28"/>
          <w:szCs w:val="28"/>
        </w:rPr>
        <w:fldChar w:fldCharType="begin"/>
      </w:r>
      <w:r>
        <w:rPr>
          <w:sz w:val="28"/>
          <w:szCs w:val="28"/>
        </w:rPr>
        <w:instrText xml:space="preserve"> PAGEREF _Toc3732 \h </w:instrText>
      </w:r>
      <w:r>
        <w:rPr>
          <w:sz w:val="28"/>
          <w:szCs w:val="28"/>
        </w:rPr>
        <w:fldChar w:fldCharType="separate"/>
      </w:r>
      <w:r>
        <w:rPr>
          <w:sz w:val="28"/>
          <w:szCs w:val="28"/>
        </w:rPr>
        <w:t>59</w:t>
      </w:r>
      <w:r>
        <w:rPr>
          <w:sz w:val="28"/>
          <w:szCs w:val="28"/>
        </w:rPr>
        <w:fldChar w:fldCharType="end"/>
      </w:r>
      <w:r>
        <w:rPr>
          <w:sz w:val="28"/>
          <w:szCs w:val="28"/>
        </w:rPr>
        <w:fldChar w:fldCharType="end"/>
      </w:r>
    </w:p>
    <w:p>
      <w:pPr>
        <w:pStyle w:val="18"/>
        <w:tabs>
          <w:tab w:val="right" w:leader="dot" w:pos="8526"/>
          <w:tab w:val="clear" w:pos="8516"/>
        </w:tabs>
        <w:rPr>
          <w:sz w:val="28"/>
          <w:szCs w:val="28"/>
        </w:rPr>
      </w:pPr>
      <w:r>
        <w:fldChar w:fldCharType="begin"/>
      </w:r>
      <w:r>
        <w:instrText xml:space="preserve"> HYPERLINK \l "_Toc29935" </w:instrText>
      </w:r>
      <w:r>
        <w:fldChar w:fldCharType="separate"/>
      </w:r>
      <w:r>
        <w:rPr>
          <w:rFonts w:hint="eastAsia" w:eastAsia="方正黑体_GBK"/>
          <w:sz w:val="28"/>
          <w:szCs w:val="28"/>
        </w:rPr>
        <w:t>第六章  主要任务</w:t>
      </w:r>
      <w:r>
        <w:rPr>
          <w:sz w:val="28"/>
          <w:szCs w:val="28"/>
        </w:rPr>
        <w:tab/>
      </w:r>
      <w:r>
        <w:rPr>
          <w:sz w:val="28"/>
          <w:szCs w:val="28"/>
        </w:rPr>
        <w:fldChar w:fldCharType="begin"/>
      </w:r>
      <w:r>
        <w:rPr>
          <w:sz w:val="28"/>
          <w:szCs w:val="28"/>
        </w:rPr>
        <w:instrText xml:space="preserve"> PAGEREF _Toc29935 \h </w:instrText>
      </w:r>
      <w:r>
        <w:rPr>
          <w:sz w:val="28"/>
          <w:szCs w:val="28"/>
        </w:rPr>
        <w:fldChar w:fldCharType="separate"/>
      </w:r>
      <w:r>
        <w:rPr>
          <w:sz w:val="28"/>
          <w:szCs w:val="28"/>
        </w:rPr>
        <w:t>62</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"_Toc28936" </w:instrText>
      </w:r>
      <w:r>
        <w:fldChar w:fldCharType="separate"/>
      </w:r>
      <w:r>
        <w:rPr>
          <w:rFonts w:hint="eastAsia" w:eastAsia="方正楷体_GBK"/>
          <w:sz w:val="28"/>
          <w:szCs w:val="28"/>
        </w:rPr>
        <w:t>第一节  加快构建现代产业体系</w:t>
      </w:r>
      <w:r>
        <w:rPr>
          <w:sz w:val="28"/>
          <w:szCs w:val="28"/>
        </w:rPr>
        <w:tab/>
      </w:r>
      <w:r>
        <w:rPr>
          <w:sz w:val="28"/>
          <w:szCs w:val="28"/>
        </w:rPr>
        <w:fldChar w:fldCharType="begin"/>
      </w:r>
      <w:r>
        <w:rPr>
          <w:sz w:val="28"/>
          <w:szCs w:val="28"/>
        </w:rPr>
        <w:instrText xml:space="preserve"> PAGEREF _Toc28936 \h </w:instrText>
      </w:r>
      <w:r>
        <w:rPr>
          <w:sz w:val="28"/>
          <w:szCs w:val="28"/>
        </w:rPr>
        <w:fldChar w:fldCharType="separate"/>
      </w:r>
      <w:r>
        <w:rPr>
          <w:sz w:val="28"/>
          <w:szCs w:val="28"/>
        </w:rPr>
        <w:t>62</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"_Toc20013" </w:instrText>
      </w:r>
      <w:r>
        <w:fldChar w:fldCharType="separate"/>
      </w:r>
      <w:r>
        <w:rPr>
          <w:rFonts w:hint="eastAsia" w:eastAsia="方正楷体_GBK"/>
          <w:sz w:val="28"/>
          <w:szCs w:val="28"/>
        </w:rPr>
        <w:t>第二节  持续深化企业梯队培育工程</w:t>
      </w:r>
      <w:r>
        <w:rPr>
          <w:sz w:val="28"/>
          <w:szCs w:val="28"/>
        </w:rPr>
        <w:tab/>
      </w:r>
      <w:r>
        <w:rPr>
          <w:sz w:val="28"/>
          <w:szCs w:val="28"/>
        </w:rPr>
        <w:fldChar w:fldCharType="begin"/>
      </w:r>
      <w:r>
        <w:rPr>
          <w:sz w:val="28"/>
          <w:szCs w:val="28"/>
        </w:rPr>
        <w:instrText xml:space="preserve"> PAGEREF _Toc20013 \h </w:instrText>
      </w:r>
      <w:r>
        <w:rPr>
          <w:sz w:val="28"/>
          <w:szCs w:val="28"/>
        </w:rPr>
        <w:fldChar w:fldCharType="separate"/>
      </w:r>
      <w:r>
        <w:rPr>
          <w:sz w:val="28"/>
          <w:szCs w:val="28"/>
        </w:rPr>
        <w:t>69</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"_Toc26016" </w:instrText>
      </w:r>
      <w:r>
        <w:fldChar w:fldCharType="separate"/>
      </w:r>
      <w:r>
        <w:rPr>
          <w:rFonts w:hint="eastAsia" w:eastAsia="方正楷体_GBK"/>
          <w:sz w:val="28"/>
          <w:szCs w:val="28"/>
        </w:rPr>
        <w:t>第三节  切实增强科技创新动能</w:t>
      </w:r>
      <w:r>
        <w:rPr>
          <w:sz w:val="28"/>
          <w:szCs w:val="28"/>
        </w:rPr>
        <w:tab/>
      </w:r>
      <w:r>
        <w:rPr>
          <w:sz w:val="28"/>
          <w:szCs w:val="28"/>
        </w:rPr>
        <w:fldChar w:fldCharType="begin"/>
      </w:r>
      <w:r>
        <w:rPr>
          <w:sz w:val="28"/>
          <w:szCs w:val="28"/>
        </w:rPr>
        <w:instrText xml:space="preserve"> PAGEREF _Toc26016 \h </w:instrText>
      </w:r>
      <w:r>
        <w:rPr>
          <w:sz w:val="28"/>
          <w:szCs w:val="28"/>
        </w:rPr>
        <w:fldChar w:fldCharType="separate"/>
      </w:r>
      <w:r>
        <w:rPr>
          <w:sz w:val="28"/>
          <w:szCs w:val="28"/>
        </w:rPr>
        <w:t>73</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"_Toc26894" </w:instrText>
      </w:r>
      <w:r>
        <w:fldChar w:fldCharType="separate"/>
      </w:r>
      <w:r>
        <w:rPr>
          <w:rFonts w:hint="eastAsia" w:eastAsia="方正楷体_GBK"/>
          <w:sz w:val="28"/>
          <w:szCs w:val="28"/>
        </w:rPr>
        <w:t>第四节  不断加速数字化赋能进程</w:t>
      </w:r>
      <w:r>
        <w:rPr>
          <w:sz w:val="28"/>
          <w:szCs w:val="28"/>
        </w:rPr>
        <w:tab/>
      </w:r>
      <w:r>
        <w:rPr>
          <w:sz w:val="28"/>
          <w:szCs w:val="28"/>
        </w:rPr>
        <w:fldChar w:fldCharType="begin"/>
      </w:r>
      <w:r>
        <w:rPr>
          <w:sz w:val="28"/>
          <w:szCs w:val="28"/>
        </w:rPr>
        <w:instrText xml:space="preserve"> PAGEREF _Toc26894 \h </w:instrText>
      </w:r>
      <w:r>
        <w:rPr>
          <w:sz w:val="28"/>
          <w:szCs w:val="28"/>
        </w:rPr>
        <w:fldChar w:fldCharType="separate"/>
      </w:r>
      <w:r>
        <w:rPr>
          <w:sz w:val="28"/>
          <w:szCs w:val="28"/>
        </w:rPr>
        <w:t>79</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"_Toc15902" </w:instrText>
      </w:r>
      <w:r>
        <w:fldChar w:fldCharType="separate"/>
      </w:r>
      <w:r>
        <w:rPr>
          <w:rFonts w:hint="eastAsia" w:eastAsia="方正楷体_GBK"/>
          <w:sz w:val="28"/>
          <w:szCs w:val="28"/>
        </w:rPr>
        <w:t>第五节  始终坚持绿色低碳安全发展</w:t>
      </w:r>
      <w:r>
        <w:rPr>
          <w:sz w:val="28"/>
          <w:szCs w:val="28"/>
        </w:rPr>
        <w:tab/>
      </w:r>
      <w:r>
        <w:rPr>
          <w:sz w:val="28"/>
          <w:szCs w:val="28"/>
        </w:rPr>
        <w:fldChar w:fldCharType="begin"/>
      </w:r>
      <w:r>
        <w:rPr>
          <w:sz w:val="28"/>
          <w:szCs w:val="28"/>
        </w:rPr>
        <w:instrText xml:space="preserve"> PAGEREF _Toc15902 \h </w:instrText>
      </w:r>
      <w:r>
        <w:rPr>
          <w:sz w:val="28"/>
          <w:szCs w:val="28"/>
        </w:rPr>
        <w:fldChar w:fldCharType="separate"/>
      </w:r>
      <w:r>
        <w:rPr>
          <w:sz w:val="28"/>
          <w:szCs w:val="28"/>
        </w:rPr>
        <w:t>84</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"_Toc10963" </w:instrText>
      </w:r>
      <w:r>
        <w:fldChar w:fldCharType="separate"/>
      </w:r>
      <w:r>
        <w:rPr>
          <w:rFonts w:hint="eastAsia" w:eastAsia="方正楷体_GBK"/>
          <w:sz w:val="28"/>
          <w:szCs w:val="28"/>
        </w:rPr>
        <w:t>第六节  全面提升平台载体能级</w:t>
      </w:r>
      <w:r>
        <w:rPr>
          <w:sz w:val="28"/>
          <w:szCs w:val="28"/>
        </w:rPr>
        <w:tab/>
      </w:r>
      <w:r>
        <w:rPr>
          <w:sz w:val="28"/>
          <w:szCs w:val="28"/>
        </w:rPr>
        <w:fldChar w:fldCharType="begin"/>
      </w:r>
      <w:r>
        <w:rPr>
          <w:sz w:val="28"/>
          <w:szCs w:val="28"/>
        </w:rPr>
        <w:instrText xml:space="preserve"> PAGEREF _Toc10963 \h </w:instrText>
      </w:r>
      <w:r>
        <w:rPr>
          <w:sz w:val="28"/>
          <w:szCs w:val="28"/>
        </w:rPr>
        <w:fldChar w:fldCharType="separate"/>
      </w:r>
      <w:r>
        <w:rPr>
          <w:sz w:val="28"/>
          <w:szCs w:val="28"/>
        </w:rPr>
        <w:t>87</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"_Toc17210" </w:instrText>
      </w:r>
      <w:r>
        <w:fldChar w:fldCharType="separate"/>
      </w:r>
      <w:r>
        <w:rPr>
          <w:rFonts w:hint="eastAsia" w:eastAsia="方正楷体_GBK"/>
          <w:sz w:val="28"/>
          <w:szCs w:val="28"/>
        </w:rPr>
        <w:t>第七节  积极打造开放融合新格局</w:t>
      </w:r>
      <w:r>
        <w:rPr>
          <w:sz w:val="28"/>
          <w:szCs w:val="28"/>
        </w:rPr>
        <w:tab/>
      </w:r>
      <w:r>
        <w:rPr>
          <w:sz w:val="28"/>
          <w:szCs w:val="28"/>
        </w:rPr>
        <w:fldChar w:fldCharType="begin"/>
      </w:r>
      <w:r>
        <w:rPr>
          <w:sz w:val="28"/>
          <w:szCs w:val="28"/>
        </w:rPr>
        <w:instrText xml:space="preserve"> PAGEREF _Toc17210 \h </w:instrText>
      </w:r>
      <w:r>
        <w:rPr>
          <w:sz w:val="28"/>
          <w:szCs w:val="28"/>
        </w:rPr>
        <w:fldChar w:fldCharType="separate"/>
      </w:r>
      <w:r>
        <w:rPr>
          <w:sz w:val="28"/>
          <w:szCs w:val="28"/>
        </w:rPr>
        <w:t>90</w:t>
      </w:r>
      <w:r>
        <w:rPr>
          <w:sz w:val="28"/>
          <w:szCs w:val="28"/>
        </w:rPr>
        <w:fldChar w:fldCharType="end"/>
      </w:r>
      <w:r>
        <w:rPr>
          <w:sz w:val="28"/>
          <w:szCs w:val="28"/>
        </w:rPr>
        <w:fldChar w:fldCharType="end"/>
      </w:r>
    </w:p>
    <w:p>
      <w:pPr>
        <w:pStyle w:val="18"/>
        <w:tabs>
          <w:tab w:val="right" w:leader="dot" w:pos="8526"/>
          <w:tab w:val="clear" w:pos="8516"/>
        </w:tabs>
        <w:rPr>
          <w:sz w:val="28"/>
          <w:szCs w:val="28"/>
        </w:rPr>
      </w:pPr>
      <w:r>
        <w:fldChar w:fldCharType="begin"/>
      </w:r>
      <w:r>
        <w:instrText xml:space="preserve"> HYPERLINK \l "_Toc14301" </w:instrText>
      </w:r>
      <w:r>
        <w:fldChar w:fldCharType="separate"/>
      </w:r>
      <w:r>
        <w:rPr>
          <w:rFonts w:hint="eastAsia" w:eastAsia="方正黑体_GBK"/>
          <w:sz w:val="28"/>
          <w:szCs w:val="28"/>
        </w:rPr>
        <w:t>第七章  保障措施</w:t>
      </w:r>
      <w:r>
        <w:rPr>
          <w:sz w:val="28"/>
          <w:szCs w:val="28"/>
        </w:rPr>
        <w:tab/>
      </w:r>
      <w:r>
        <w:rPr>
          <w:sz w:val="28"/>
          <w:szCs w:val="28"/>
        </w:rPr>
        <w:fldChar w:fldCharType="begin"/>
      </w:r>
      <w:r>
        <w:rPr>
          <w:sz w:val="28"/>
          <w:szCs w:val="28"/>
        </w:rPr>
        <w:instrText xml:space="preserve"> PAGEREF _Toc14301 \h </w:instrText>
      </w:r>
      <w:r>
        <w:rPr>
          <w:sz w:val="28"/>
          <w:szCs w:val="28"/>
        </w:rPr>
        <w:fldChar w:fldCharType="separate"/>
      </w:r>
      <w:r>
        <w:rPr>
          <w:sz w:val="28"/>
          <w:szCs w:val="28"/>
        </w:rPr>
        <w:t>94</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"_Toc21529" </w:instrText>
      </w:r>
      <w:r>
        <w:fldChar w:fldCharType="separate"/>
      </w:r>
      <w:r>
        <w:rPr>
          <w:rFonts w:hint="eastAsia" w:eastAsia="方正楷体_GBK"/>
          <w:sz w:val="28"/>
          <w:szCs w:val="28"/>
        </w:rPr>
        <w:t>第一节  强化组织领导</w:t>
      </w:r>
      <w:r>
        <w:rPr>
          <w:sz w:val="28"/>
          <w:szCs w:val="28"/>
        </w:rPr>
        <w:tab/>
      </w:r>
      <w:r>
        <w:rPr>
          <w:sz w:val="28"/>
          <w:szCs w:val="28"/>
        </w:rPr>
        <w:fldChar w:fldCharType="begin"/>
      </w:r>
      <w:r>
        <w:rPr>
          <w:sz w:val="28"/>
          <w:szCs w:val="28"/>
        </w:rPr>
        <w:instrText xml:space="preserve"> PAGEREF _Toc21529 \h </w:instrText>
      </w:r>
      <w:r>
        <w:rPr>
          <w:sz w:val="28"/>
          <w:szCs w:val="28"/>
        </w:rPr>
        <w:fldChar w:fldCharType="separate"/>
      </w:r>
      <w:r>
        <w:rPr>
          <w:sz w:val="28"/>
          <w:szCs w:val="28"/>
        </w:rPr>
        <w:t>94</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"_Toc13800" </w:instrText>
      </w:r>
      <w:r>
        <w:fldChar w:fldCharType="separate"/>
      </w:r>
      <w:r>
        <w:rPr>
          <w:rFonts w:hint="eastAsia" w:eastAsia="方正楷体_GBK"/>
          <w:sz w:val="28"/>
          <w:szCs w:val="28"/>
        </w:rPr>
        <w:t>第二节  强化政策支持</w:t>
      </w:r>
      <w:r>
        <w:rPr>
          <w:sz w:val="28"/>
          <w:szCs w:val="28"/>
        </w:rPr>
        <w:tab/>
      </w:r>
      <w:r>
        <w:rPr>
          <w:sz w:val="28"/>
          <w:szCs w:val="28"/>
        </w:rPr>
        <w:fldChar w:fldCharType="begin"/>
      </w:r>
      <w:r>
        <w:rPr>
          <w:sz w:val="28"/>
          <w:szCs w:val="28"/>
        </w:rPr>
        <w:instrText xml:space="preserve"> PAGEREF _Toc13800 \h </w:instrText>
      </w:r>
      <w:r>
        <w:rPr>
          <w:sz w:val="28"/>
          <w:szCs w:val="28"/>
        </w:rPr>
        <w:fldChar w:fldCharType="separate"/>
      </w:r>
      <w:r>
        <w:rPr>
          <w:sz w:val="28"/>
          <w:szCs w:val="28"/>
        </w:rPr>
        <w:t>95</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"_Toc15907" </w:instrText>
      </w:r>
      <w:r>
        <w:fldChar w:fldCharType="separate"/>
      </w:r>
      <w:r>
        <w:rPr>
          <w:rFonts w:hint="eastAsia" w:eastAsia="方正楷体_GBK"/>
          <w:sz w:val="28"/>
          <w:szCs w:val="28"/>
        </w:rPr>
        <w:t>第三节  强化人才引培</w:t>
      </w:r>
      <w:r>
        <w:rPr>
          <w:sz w:val="28"/>
          <w:szCs w:val="28"/>
        </w:rPr>
        <w:tab/>
      </w:r>
      <w:r>
        <w:rPr>
          <w:sz w:val="28"/>
          <w:szCs w:val="28"/>
        </w:rPr>
        <w:fldChar w:fldCharType="begin"/>
      </w:r>
      <w:r>
        <w:rPr>
          <w:sz w:val="28"/>
          <w:szCs w:val="28"/>
        </w:rPr>
        <w:instrText xml:space="preserve"> PAGEREF _Toc15907 \h </w:instrText>
      </w:r>
      <w:r>
        <w:rPr>
          <w:sz w:val="28"/>
          <w:szCs w:val="28"/>
        </w:rPr>
        <w:fldChar w:fldCharType="separate"/>
      </w:r>
      <w:r>
        <w:rPr>
          <w:sz w:val="28"/>
          <w:szCs w:val="28"/>
        </w:rPr>
        <w:t>96</w:t>
      </w:r>
      <w:r>
        <w:rPr>
          <w:sz w:val="28"/>
          <w:szCs w:val="28"/>
        </w:rPr>
        <w:fldChar w:fldCharType="end"/>
      </w:r>
      <w:r>
        <w:rPr>
          <w:sz w:val="28"/>
          <w:szCs w:val="28"/>
        </w:rPr>
        <w:fldChar w:fldCharType="end"/>
      </w:r>
    </w:p>
    <w:p>
      <w:pPr>
        <w:pStyle w:val="21"/>
        <w:tabs>
          <w:tab w:val="right" w:leader="dot" w:pos="8526"/>
        </w:tabs>
        <w:rPr>
          <w:sz w:val="28"/>
          <w:szCs w:val="28"/>
        </w:rPr>
      </w:pPr>
      <w:r>
        <w:fldChar w:fldCharType="begin"/>
      </w:r>
      <w:r>
        <w:instrText xml:space="preserve"> HYPERLINK \l "_Toc26858" </w:instrText>
      </w:r>
      <w:r>
        <w:fldChar w:fldCharType="separate"/>
      </w:r>
      <w:r>
        <w:rPr>
          <w:rFonts w:hint="eastAsia" w:eastAsia="方正楷体_GBK"/>
          <w:sz w:val="28"/>
          <w:szCs w:val="28"/>
        </w:rPr>
        <w:t>第四节  强化服务保障</w:t>
      </w:r>
      <w:r>
        <w:rPr>
          <w:sz w:val="28"/>
          <w:szCs w:val="28"/>
        </w:rPr>
        <w:tab/>
      </w:r>
      <w:r>
        <w:rPr>
          <w:sz w:val="28"/>
          <w:szCs w:val="28"/>
        </w:rPr>
        <w:fldChar w:fldCharType="begin"/>
      </w:r>
      <w:r>
        <w:rPr>
          <w:sz w:val="28"/>
          <w:szCs w:val="28"/>
        </w:rPr>
        <w:instrText xml:space="preserve"> PAGEREF _Toc26858 \h </w:instrText>
      </w:r>
      <w:r>
        <w:rPr>
          <w:sz w:val="28"/>
          <w:szCs w:val="28"/>
        </w:rPr>
        <w:fldChar w:fldCharType="separate"/>
      </w:r>
      <w:r>
        <w:rPr>
          <w:sz w:val="28"/>
          <w:szCs w:val="28"/>
        </w:rPr>
        <w:t>99</w:t>
      </w:r>
      <w:r>
        <w:rPr>
          <w:sz w:val="28"/>
          <w:szCs w:val="28"/>
        </w:rPr>
        <w:fldChar w:fldCharType="end"/>
      </w:r>
      <w:r>
        <w:rPr>
          <w:sz w:val="28"/>
          <w:szCs w:val="28"/>
        </w:rPr>
        <w:fldChar w:fldCharType="end"/>
      </w:r>
    </w:p>
    <w:p>
      <w:pPr>
        <w:spacing w:line="580" w:lineRule="exact"/>
        <w:ind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fldChar w:fldCharType="end"/>
      </w:r>
    </w:p>
    <w:p>
      <w:pPr>
        <w:spacing w:line="580" w:lineRule="exact"/>
        <w:ind w:firstLine="560" w:firstLineChars="200"/>
        <w:rPr>
          <w:color w:val="000000" w:themeColor="text1"/>
          <w:sz w:val="28"/>
          <w:szCs w:val="28"/>
          <w14:textFill>
            <w14:solidFill>
              <w14:schemeClr w14:val="tx1"/>
            </w14:solidFill>
          </w14:textFill>
        </w:rPr>
        <w:sectPr>
          <w:headerReference r:id="rId3" w:type="default"/>
          <w:footerReference r:id="rId4" w:type="default"/>
          <w:pgSz w:w="11906" w:h="16838"/>
          <w:pgMar w:top="1554" w:right="1690" w:bottom="1610" w:left="1690" w:header="851" w:footer="992" w:gutter="0"/>
          <w:pgNumType w:fmt="upperRoman" w:start="1"/>
          <w:cols w:space="425" w:num="1"/>
          <w:docGrid w:type="lines" w:linePitch="312" w:charSpace="0"/>
        </w:sectPr>
      </w:pPr>
    </w:p>
    <w:p>
      <w:pPr>
        <w:pStyle w:val="6"/>
        <w:spacing w:before="0" w:after="0" w:line="580" w:lineRule="exact"/>
        <w:jc w:val="center"/>
        <w:rPr>
          <w:rFonts w:eastAsia="方正黑体_GBK"/>
          <w:b w:val="0"/>
          <w:color w:val="000000" w:themeColor="text1"/>
          <w:sz w:val="32"/>
          <w:szCs w:val="32"/>
          <w14:textFill>
            <w14:solidFill>
              <w14:schemeClr w14:val="tx1"/>
            </w14:solidFill>
          </w14:textFill>
        </w:rPr>
      </w:pPr>
      <w:bookmarkStart w:id="0" w:name="_Toc75019400"/>
      <w:bookmarkStart w:id="1" w:name="_Toc6339"/>
      <w:r>
        <w:rPr>
          <w:rFonts w:eastAsia="方正黑体_GBK"/>
          <w:b w:val="0"/>
          <w:color w:val="000000" w:themeColor="text1"/>
          <w:sz w:val="32"/>
          <w:szCs w:val="32"/>
          <w14:textFill>
            <w14:solidFill>
              <w14:schemeClr w14:val="tx1"/>
            </w14:solidFill>
          </w14:textFill>
        </w:rPr>
        <w:t xml:space="preserve">第一章  </w:t>
      </w:r>
      <w:r>
        <w:rPr>
          <w:rFonts w:hint="eastAsia" w:eastAsia="方正黑体_GBK"/>
          <w:b w:val="0"/>
          <w:color w:val="000000" w:themeColor="text1"/>
          <w:sz w:val="32"/>
          <w:szCs w:val="32"/>
          <w14:textFill>
            <w14:solidFill>
              <w14:schemeClr w14:val="tx1"/>
            </w14:solidFill>
          </w14:textFill>
        </w:rPr>
        <w:t>“</w:t>
      </w:r>
      <w:r>
        <w:rPr>
          <w:rFonts w:eastAsia="方正黑体_GBK"/>
          <w:b w:val="0"/>
          <w:color w:val="000000" w:themeColor="text1"/>
          <w:sz w:val="32"/>
          <w:szCs w:val="32"/>
          <w14:textFill>
            <w14:solidFill>
              <w14:schemeClr w14:val="tx1"/>
            </w14:solidFill>
          </w14:textFill>
        </w:rPr>
        <w:t>十三五</w:t>
      </w:r>
      <w:r>
        <w:rPr>
          <w:rFonts w:hint="eastAsia" w:eastAsia="方正黑体_GBK"/>
          <w:b w:val="0"/>
          <w:color w:val="000000" w:themeColor="text1"/>
          <w:sz w:val="32"/>
          <w:szCs w:val="32"/>
          <w14:textFill>
            <w14:solidFill>
              <w14:schemeClr w14:val="tx1"/>
            </w14:solidFill>
          </w14:textFill>
        </w:rPr>
        <w:t>”</w:t>
      </w:r>
      <w:r>
        <w:rPr>
          <w:rFonts w:eastAsia="方正黑体_GBK"/>
          <w:b w:val="0"/>
          <w:color w:val="000000" w:themeColor="text1"/>
          <w:sz w:val="32"/>
          <w:szCs w:val="32"/>
          <w14:textFill>
            <w14:solidFill>
              <w14:schemeClr w14:val="tx1"/>
            </w14:solidFill>
          </w14:textFill>
        </w:rPr>
        <w:t>发展回顾</w:t>
      </w:r>
      <w:bookmarkEnd w:id="0"/>
      <w:bookmarkEnd w:id="1"/>
    </w:p>
    <w:p>
      <w:pPr>
        <w:spacing w:line="580" w:lineRule="exact"/>
        <w:ind w:firstLine="640" w:firstLineChars="200"/>
        <w:rPr>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cs="Times New Roman"/>
          <w:b w:val="0"/>
          <w:color w:val="000000" w:themeColor="text1"/>
          <w14:textFill>
            <w14:solidFill>
              <w14:schemeClr w14:val="tx1"/>
            </w14:solidFill>
          </w14:textFill>
        </w:rPr>
      </w:pPr>
      <w:bookmarkStart w:id="2" w:name="_Toc21654"/>
      <w:bookmarkStart w:id="3" w:name="_Toc75019401"/>
      <w:r>
        <w:rPr>
          <w:rFonts w:ascii="Times New Roman" w:hAnsi="Times New Roman" w:eastAsia="方正楷体_GBK" w:cs="Times New Roman"/>
          <w:b w:val="0"/>
          <w:color w:val="000000" w:themeColor="text1"/>
          <w14:textFill>
            <w14:solidFill>
              <w14:schemeClr w14:val="tx1"/>
            </w14:solidFill>
          </w14:textFill>
        </w:rPr>
        <w:t xml:space="preserve">第一节  </w:t>
      </w:r>
      <w:r>
        <w:rPr>
          <w:rFonts w:hint="eastAsia" w:ascii="Times New Roman" w:hAnsi="Times New Roman" w:eastAsia="方正楷体_GBK" w:cs="Times New Roman"/>
          <w:b w:val="0"/>
          <w:color w:val="000000" w:themeColor="text1"/>
          <w14:textFill>
            <w14:solidFill>
              <w14:schemeClr w14:val="tx1"/>
            </w14:solidFill>
          </w14:textFill>
        </w:rPr>
        <w:t>“</w:t>
      </w:r>
      <w:r>
        <w:rPr>
          <w:rFonts w:ascii="Times New Roman" w:hAnsi="Times New Roman" w:eastAsia="方正楷体_GBK" w:cs="Times New Roman"/>
          <w:b w:val="0"/>
          <w:color w:val="000000" w:themeColor="text1"/>
          <w14:textFill>
            <w14:solidFill>
              <w14:schemeClr w14:val="tx1"/>
            </w14:solidFill>
          </w14:textFill>
        </w:rPr>
        <w:t>十三五</w:t>
      </w:r>
      <w:r>
        <w:rPr>
          <w:rFonts w:hint="eastAsia" w:ascii="Times New Roman" w:hAnsi="Times New Roman" w:eastAsia="方正楷体_GBK" w:cs="Times New Roman"/>
          <w:b w:val="0"/>
          <w:color w:val="000000" w:themeColor="text1"/>
          <w14:textFill>
            <w14:solidFill>
              <w14:schemeClr w14:val="tx1"/>
            </w14:solidFill>
          </w14:textFill>
        </w:rPr>
        <w:t>”</w:t>
      </w:r>
      <w:r>
        <w:rPr>
          <w:rFonts w:ascii="Times New Roman" w:hAnsi="Times New Roman" w:eastAsia="方正楷体_GBK" w:cs="Times New Roman"/>
          <w:b w:val="0"/>
          <w:color w:val="000000" w:themeColor="text1"/>
          <w14:textFill>
            <w14:solidFill>
              <w14:schemeClr w14:val="tx1"/>
            </w14:solidFill>
          </w14:textFill>
        </w:rPr>
        <w:t>工业经济发展取得成绩</w:t>
      </w:r>
      <w:bookmarkEnd w:id="2"/>
      <w:bookmarkEnd w:id="3"/>
    </w:p>
    <w:p>
      <w:pPr>
        <w:spacing w:line="580" w:lineRule="exact"/>
        <w:ind w:firstLine="640" w:firstLineChars="200"/>
        <w:rPr>
          <w:color w:val="000000" w:themeColor="text1"/>
          <w:sz w:val="32"/>
          <w:szCs w:val="32"/>
          <w14:textFill>
            <w14:solidFill>
              <w14:schemeClr w14:val="tx1"/>
            </w14:solidFill>
          </w14:textFill>
        </w:rPr>
      </w:pPr>
    </w:p>
    <w:p>
      <w:pPr>
        <w:spacing w:line="580" w:lineRule="exact"/>
        <w:ind w:firstLine="640" w:firstLineChars="200"/>
        <w:rPr>
          <w:color w:val="000000" w:themeColor="text1"/>
          <w:kern w:val="0"/>
          <w:sz w:val="32"/>
          <w:szCs w:val="32"/>
          <w14:textFill>
            <w14:solidFill>
              <w14:schemeClr w14:val="tx1"/>
            </w14:solidFill>
          </w14:textFill>
        </w:rPr>
      </w:pPr>
      <w:r>
        <w:rPr>
          <w:rFonts w:hint="eastAsia"/>
          <w:color w:val="000000" w:themeColor="text1"/>
          <w:kern w:val="0"/>
          <w:sz w:val="32"/>
          <w:szCs w:val="32"/>
          <w14:textFill>
            <w14:solidFill>
              <w14:schemeClr w14:val="tx1"/>
            </w14:solidFill>
          </w14:textFill>
        </w:rPr>
        <w:t>“</w:t>
      </w:r>
      <w:r>
        <w:rPr>
          <w:color w:val="000000" w:themeColor="text1"/>
          <w:kern w:val="0"/>
          <w:sz w:val="32"/>
          <w:szCs w:val="32"/>
          <w14:textFill>
            <w14:solidFill>
              <w14:schemeClr w14:val="tx1"/>
            </w14:solidFill>
          </w14:textFill>
        </w:rPr>
        <w:t>十三五</w:t>
      </w:r>
      <w:r>
        <w:rPr>
          <w:rFonts w:hint="eastAsia"/>
          <w:color w:val="000000" w:themeColor="text1"/>
          <w:kern w:val="0"/>
          <w:sz w:val="32"/>
          <w:szCs w:val="32"/>
          <w14:textFill>
            <w14:solidFill>
              <w14:schemeClr w14:val="tx1"/>
            </w14:solidFill>
          </w14:textFill>
        </w:rPr>
        <w:t>”</w:t>
      </w:r>
      <w:r>
        <w:rPr>
          <w:color w:val="000000" w:themeColor="text1"/>
          <w:kern w:val="0"/>
          <w:sz w:val="32"/>
          <w:szCs w:val="32"/>
          <w14:textFill>
            <w14:solidFill>
              <w14:schemeClr w14:val="tx1"/>
            </w14:solidFill>
          </w14:textFill>
        </w:rPr>
        <w:t>时期，全市始终坚持</w:t>
      </w:r>
      <w:r>
        <w:rPr>
          <w:rFonts w:hint="eastAsia"/>
          <w:color w:val="000000" w:themeColor="text1"/>
          <w:kern w:val="0"/>
          <w:sz w:val="32"/>
          <w:szCs w:val="32"/>
          <w14:textFill>
            <w14:solidFill>
              <w14:schemeClr w14:val="tx1"/>
            </w14:solidFill>
          </w14:textFill>
        </w:rPr>
        <w:t>“</w:t>
      </w:r>
      <w:r>
        <w:rPr>
          <w:color w:val="000000" w:themeColor="text1"/>
          <w:kern w:val="0"/>
          <w:sz w:val="32"/>
          <w:szCs w:val="32"/>
          <w14:textFill>
            <w14:solidFill>
              <w14:schemeClr w14:val="tx1"/>
            </w14:solidFill>
          </w14:textFill>
        </w:rPr>
        <w:t>工业兴市、产业强市</w:t>
      </w:r>
      <w:r>
        <w:rPr>
          <w:rFonts w:hint="eastAsia"/>
          <w:color w:val="000000" w:themeColor="text1"/>
          <w:kern w:val="0"/>
          <w:sz w:val="32"/>
          <w:szCs w:val="32"/>
          <w14:textFill>
            <w14:solidFill>
              <w14:schemeClr w14:val="tx1"/>
            </w14:solidFill>
          </w14:textFill>
        </w:rPr>
        <w:t>”</w:t>
      </w:r>
      <w:r>
        <w:rPr>
          <w:color w:val="000000" w:themeColor="text1"/>
          <w:kern w:val="0"/>
          <w:sz w:val="32"/>
          <w:szCs w:val="32"/>
          <w14:textFill>
            <w14:solidFill>
              <w14:schemeClr w14:val="tx1"/>
            </w14:solidFill>
          </w14:textFill>
        </w:rPr>
        <w:t>发展战略，以高质量发展</w:t>
      </w:r>
      <w:r>
        <w:rPr>
          <w:rFonts w:hint="eastAsia"/>
          <w:color w:val="000000" w:themeColor="text1"/>
          <w:kern w:val="0"/>
          <w:sz w:val="32"/>
          <w:szCs w:val="32"/>
          <w14:textFill>
            <w14:solidFill>
              <w14:schemeClr w14:val="tx1"/>
            </w14:solidFill>
          </w14:textFill>
        </w:rPr>
        <w:t>“</w:t>
      </w:r>
      <w:r>
        <w:rPr>
          <w:color w:val="000000" w:themeColor="text1"/>
          <w:kern w:val="0"/>
          <w:sz w:val="32"/>
          <w:szCs w:val="32"/>
          <w14:textFill>
            <w14:solidFill>
              <w14:schemeClr w14:val="tx1"/>
            </w14:solidFill>
          </w14:textFill>
        </w:rPr>
        <w:t>六增六强</w:t>
      </w:r>
      <w:r>
        <w:rPr>
          <w:rFonts w:hint="eastAsia"/>
          <w:color w:val="000000" w:themeColor="text1"/>
          <w:kern w:val="0"/>
          <w:sz w:val="32"/>
          <w:szCs w:val="32"/>
          <w14:textFill>
            <w14:solidFill>
              <w14:schemeClr w14:val="tx1"/>
            </w14:solidFill>
          </w14:textFill>
        </w:rPr>
        <w:t>”</w:t>
      </w:r>
      <w:r>
        <w:rPr>
          <w:color w:val="000000" w:themeColor="text1"/>
          <w:kern w:val="0"/>
          <w:sz w:val="32"/>
          <w:szCs w:val="32"/>
          <w14:textFill>
            <w14:solidFill>
              <w14:schemeClr w14:val="tx1"/>
            </w14:solidFill>
          </w14:textFill>
        </w:rPr>
        <w:t>为统领，</w:t>
      </w:r>
      <w:r>
        <w:rPr>
          <w:rFonts w:hint="eastAsia"/>
          <w:color w:val="000000" w:themeColor="text1"/>
          <w:kern w:val="0"/>
          <w:sz w:val="32"/>
          <w:szCs w:val="32"/>
          <w14:textFill>
            <w14:solidFill>
              <w14:schemeClr w14:val="tx1"/>
            </w14:solidFill>
          </w14:textFill>
        </w:rPr>
        <w:t>全力推进产业壮大、企业培育和项目招引，工业经济始终保持良好发展势头，在质效、结构、创新、融合、绿色等方面取得了明显进步，“</w:t>
      </w:r>
      <w:r>
        <w:rPr>
          <w:color w:val="000000" w:themeColor="text1"/>
          <w:kern w:val="0"/>
          <w:sz w:val="32"/>
          <w:szCs w:val="32"/>
          <w14:textFill>
            <w14:solidFill>
              <w14:schemeClr w14:val="tx1"/>
            </w14:solidFill>
          </w14:textFill>
        </w:rPr>
        <w:t>十三五</w:t>
      </w:r>
      <w:r>
        <w:rPr>
          <w:rFonts w:hint="eastAsia"/>
          <w:color w:val="000000" w:themeColor="text1"/>
          <w:kern w:val="0"/>
          <w:sz w:val="32"/>
          <w:szCs w:val="32"/>
          <w14:textFill>
            <w14:solidFill>
              <w14:schemeClr w14:val="tx1"/>
            </w14:solidFill>
          </w14:textFill>
        </w:rPr>
        <w:t>”工业</w:t>
      </w:r>
      <w:r>
        <w:rPr>
          <w:color w:val="000000" w:themeColor="text1"/>
          <w:kern w:val="0"/>
          <w:sz w:val="32"/>
          <w:szCs w:val="32"/>
          <w14:textFill>
            <w14:solidFill>
              <w14:schemeClr w14:val="tx1"/>
            </w14:solidFill>
          </w14:textFill>
        </w:rPr>
        <w:t>经济发展规划设定的各项目标任务总体完成较好。</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eastAsia="方正黑体_GBK"/>
          <w:b w:val="0"/>
          <w:color w:val="000000" w:themeColor="text1"/>
          <w14:textFill>
            <w14:solidFill>
              <w14:schemeClr w14:val="tx1"/>
            </w14:solidFill>
          </w14:textFill>
        </w:rPr>
        <w:t>一、工业总量稳步攀升</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十三五</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时期，全市工业经济总量稳步攀升，取得了较为显著的进步。</w:t>
      </w:r>
      <w:r>
        <w:rPr>
          <w:b/>
          <w:color w:val="000000" w:themeColor="text1"/>
          <w:sz w:val="32"/>
          <w:szCs w:val="32"/>
          <w14:textFill>
            <w14:solidFill>
              <w14:schemeClr w14:val="tx1"/>
            </w14:solidFill>
          </w14:textFill>
        </w:rPr>
        <w:t>一是工业指标增幅持续位居全省前列</w:t>
      </w:r>
      <w:r>
        <w:rPr>
          <w:color w:val="000000" w:themeColor="text1"/>
          <w:sz w:val="32"/>
          <w:szCs w:val="32"/>
          <w14:textFill>
            <w14:solidFill>
              <w14:schemeClr w14:val="tx1"/>
            </w14:solidFill>
          </w14:textFill>
        </w:rPr>
        <w:t>。2020年，全市实</w:t>
      </w:r>
      <w:r>
        <w:rPr>
          <w:rFonts w:hint="eastAsia"/>
          <w:color w:val="000000" w:themeColor="text1"/>
          <w:sz w:val="32"/>
          <w:szCs w:val="32"/>
          <w14:textFill>
            <w14:solidFill>
              <w14:schemeClr w14:val="tx1"/>
            </w14:solidFill>
          </w14:textFill>
        </w:rPr>
        <w:t>现规上工业总产值增长10.3%；</w:t>
      </w:r>
      <w:r>
        <w:rPr>
          <w:color w:val="000000" w:themeColor="text1"/>
          <w:sz w:val="32"/>
          <w:szCs w:val="32"/>
          <w14:textFill>
            <w14:solidFill>
              <w14:schemeClr w14:val="tx1"/>
            </w14:solidFill>
          </w14:textFill>
        </w:rPr>
        <w:t>规模以上企业营业收入2740亿元，增长7.3%，增幅位列全省第三；规模以上工业增加值846亿元，增长7.8%，增幅位列全省第一；全部工业用电量149.2亿千瓦时，增长8.5%，增幅位列全省第三；全部工业开票销售3207亿元，连跨两个千亿元台阶，增长15.4%，增幅位列全省第一。</w:t>
      </w:r>
      <w:r>
        <w:rPr>
          <w:b/>
          <w:color w:val="000000" w:themeColor="text1"/>
          <w:sz w:val="32"/>
          <w:szCs w:val="32"/>
          <w14:textFill>
            <w14:solidFill>
              <w14:schemeClr w14:val="tx1"/>
            </w14:solidFill>
          </w14:textFill>
        </w:rPr>
        <w:t>二是全市工业总量达到苏北中游水平</w:t>
      </w:r>
      <w:r>
        <w:rPr>
          <w:color w:val="000000" w:themeColor="text1"/>
          <w:sz w:val="32"/>
          <w:szCs w:val="32"/>
          <w14:textFill>
            <w14:solidFill>
              <w14:schemeClr w14:val="tx1"/>
            </w14:solidFill>
          </w14:textFill>
        </w:rPr>
        <w:t>。全市工业</w:t>
      </w:r>
      <w:r>
        <w:rPr>
          <w:rFonts w:hint="eastAsia"/>
          <w:color w:val="000000" w:themeColor="text1"/>
          <w:sz w:val="32"/>
          <w:szCs w:val="32"/>
          <w14:textFill>
            <w14:solidFill>
              <w14:schemeClr w14:val="tx1"/>
            </w14:solidFill>
          </w14:textFill>
        </w:rPr>
        <w:t>增加值</w:t>
      </w:r>
      <w:r>
        <w:rPr>
          <w:color w:val="000000" w:themeColor="text1"/>
          <w:sz w:val="32"/>
          <w:szCs w:val="32"/>
          <w14:textFill>
            <w14:solidFill>
              <w14:schemeClr w14:val="tx1"/>
            </w14:solidFill>
          </w14:textFill>
        </w:rPr>
        <w:t>占GDP比重34.5%，为苏北最高。全市规模以上工业增加值、全部工业用电量、工业开票销售总量</w:t>
      </w:r>
      <w:r>
        <w:rPr>
          <w:rFonts w:hint="eastAsia"/>
          <w:color w:val="000000" w:themeColor="text1"/>
          <w:sz w:val="32"/>
          <w:szCs w:val="32"/>
          <w14:textFill>
            <w14:solidFill>
              <w14:schemeClr w14:val="tx1"/>
            </w14:solidFill>
          </w14:textFill>
        </w:rPr>
        <w:t>由原先的全省最后跃升至第11位，</w:t>
      </w:r>
      <w:r>
        <w:rPr>
          <w:color w:val="000000" w:themeColor="text1"/>
          <w:sz w:val="32"/>
          <w:szCs w:val="32"/>
          <w14:textFill>
            <w14:solidFill>
              <w14:schemeClr w14:val="tx1"/>
            </w14:solidFill>
          </w14:textFill>
        </w:rPr>
        <w:t>主要经济指标处于苏北中游。</w:t>
      </w:r>
      <w:r>
        <w:rPr>
          <w:rFonts w:hint="eastAsia"/>
          <w:b/>
          <w:color w:val="000000" w:themeColor="text1"/>
          <w:sz w:val="32"/>
          <w:szCs w:val="32"/>
          <w14:textFill>
            <w14:solidFill>
              <w14:schemeClr w14:val="tx1"/>
            </w14:solidFill>
          </w14:textFill>
        </w:rPr>
        <w:t>三是总体处于工业化中前期阶段。</w:t>
      </w:r>
      <w:r>
        <w:rPr>
          <w:color w:val="000000" w:themeColor="text1"/>
          <w:sz w:val="32"/>
          <w:szCs w:val="32"/>
          <w14:textFill>
            <w14:solidFill>
              <w14:schemeClr w14:val="tx1"/>
            </w14:solidFill>
          </w14:textFill>
        </w:rPr>
        <w:t>按照工业化率（二产占GDP比重）方法测算，2020年我市工业化率为41.9%（工业化率达到20%-40%为工业化初期；40%-60%为工业化中期；60%以上为工业化后期），我市总体处于工业化中前期。</w:t>
      </w:r>
    </w:p>
    <w:p>
      <w:pPr>
        <w:spacing w:line="580" w:lineRule="exact"/>
        <w:jc w:val="center"/>
        <w:rPr>
          <w:rFonts w:eastAsia="方正黑体_GBK"/>
          <w:color w:val="000000" w:themeColor="text1"/>
          <w:sz w:val="28"/>
          <w:szCs w:val="30"/>
          <w14:textFill>
            <w14:solidFill>
              <w14:schemeClr w14:val="tx1"/>
            </w14:solidFill>
          </w14:textFill>
        </w:rPr>
      </w:pPr>
      <w:r>
        <w:rPr>
          <w:rFonts w:hint="eastAsia" w:eastAsia="方正黑体_GBK"/>
          <w:color w:val="000000" w:themeColor="text1"/>
          <w:sz w:val="28"/>
          <w:szCs w:val="30"/>
          <w14:textFill>
            <w14:solidFill>
              <w14:schemeClr w14:val="tx1"/>
            </w14:solidFill>
          </w14:textFill>
        </w:rPr>
        <w:t>“</w:t>
      </w:r>
      <w:r>
        <w:rPr>
          <w:rFonts w:eastAsia="方正黑体_GBK"/>
          <w:color w:val="000000" w:themeColor="text1"/>
          <w:sz w:val="28"/>
          <w:szCs w:val="30"/>
          <w14:textFill>
            <w14:solidFill>
              <w14:schemeClr w14:val="tx1"/>
            </w14:solidFill>
          </w14:textFill>
        </w:rPr>
        <w:t>十三五</w:t>
      </w:r>
      <w:r>
        <w:rPr>
          <w:rFonts w:hint="eastAsia" w:eastAsia="方正黑体_GBK"/>
          <w:color w:val="000000" w:themeColor="text1"/>
          <w:sz w:val="28"/>
          <w:szCs w:val="30"/>
          <w14:textFill>
            <w14:solidFill>
              <w14:schemeClr w14:val="tx1"/>
            </w14:solidFill>
          </w14:textFill>
        </w:rPr>
        <w:t>”</w:t>
      </w:r>
      <w:r>
        <w:rPr>
          <w:rFonts w:eastAsia="方正黑体_GBK"/>
          <w:color w:val="000000" w:themeColor="text1"/>
          <w:sz w:val="28"/>
          <w:szCs w:val="30"/>
          <w14:textFill>
            <w14:solidFill>
              <w14:schemeClr w14:val="tx1"/>
            </w14:solidFill>
          </w14:textFill>
        </w:rPr>
        <w:t>时期全市工业经济发展情况</w:t>
      </w:r>
      <w:r>
        <w:rPr>
          <w:rFonts w:hint="eastAsia" w:eastAsia="方正黑体_GBK"/>
          <w:color w:val="000000" w:themeColor="text1"/>
          <w:sz w:val="28"/>
          <w:szCs w:val="30"/>
          <w14:textFill>
            <w14:solidFill>
              <w14:schemeClr w14:val="tx1"/>
            </w14:solidFill>
          </w14:textFill>
        </w:rPr>
        <w:t>（表一）</w:t>
      </w:r>
    </w:p>
    <w:tbl>
      <w:tblPr>
        <w:tblStyle w:val="25"/>
        <w:tblW w:w="8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117"/>
        <w:gridCol w:w="1288"/>
        <w:gridCol w:w="1264"/>
        <w:gridCol w:w="1073"/>
        <w:gridCol w:w="1397"/>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restart"/>
            <w:tcBorders>
              <w:tl2br w:val="nil"/>
              <w:tr2bl w:val="nil"/>
            </w:tcBorders>
            <w:vAlign w:val="center"/>
          </w:tcPr>
          <w:p>
            <w:pPr>
              <w:widowControl/>
              <w:spacing w:line="360" w:lineRule="exact"/>
              <w:jc w:val="center"/>
              <w:rPr>
                <w:rFonts w:eastAsia="方正黑体_GBK"/>
                <w:color w:val="000000" w:themeColor="text1"/>
                <w:kern w:val="0"/>
                <w:szCs w:val="21"/>
                <w14:textFill>
                  <w14:solidFill>
                    <w14:schemeClr w14:val="tx1"/>
                  </w14:solidFill>
                </w14:textFill>
              </w:rPr>
            </w:pPr>
            <w:r>
              <w:rPr>
                <w:rFonts w:eastAsia="方正黑体_GBK"/>
                <w:color w:val="000000" w:themeColor="text1"/>
                <w:kern w:val="0"/>
                <w:szCs w:val="21"/>
                <w14:textFill>
                  <w14:solidFill>
                    <w14:schemeClr w14:val="tx1"/>
                  </w14:solidFill>
                </w14:textFill>
              </w:rPr>
              <w:t>年</w:t>
            </w:r>
            <w:r>
              <w:rPr>
                <w:rFonts w:hint="eastAsia" w:eastAsia="方正黑体_GBK"/>
                <w:color w:val="000000" w:themeColor="text1"/>
                <w:kern w:val="0"/>
                <w:szCs w:val="21"/>
                <w14:textFill>
                  <w14:solidFill>
                    <w14:schemeClr w14:val="tx1"/>
                  </w14:solidFill>
                </w14:textFill>
              </w:rPr>
              <w:t xml:space="preserve">  </w:t>
            </w:r>
            <w:r>
              <w:rPr>
                <w:rFonts w:eastAsia="方正黑体_GBK"/>
                <w:color w:val="000000" w:themeColor="text1"/>
                <w:kern w:val="0"/>
                <w:szCs w:val="21"/>
                <w14:textFill>
                  <w14:solidFill>
                    <w14:schemeClr w14:val="tx1"/>
                  </w14:solidFill>
                </w14:textFill>
              </w:rPr>
              <w:t>份</w:t>
            </w:r>
          </w:p>
        </w:tc>
        <w:tc>
          <w:tcPr>
            <w:tcW w:w="1117" w:type="dxa"/>
            <w:vMerge w:val="restart"/>
            <w:tcBorders>
              <w:tl2br w:val="nil"/>
              <w:tr2bl w:val="nil"/>
            </w:tcBorders>
            <w:vAlign w:val="center"/>
          </w:tcPr>
          <w:p>
            <w:pPr>
              <w:widowControl/>
              <w:spacing w:line="360" w:lineRule="exact"/>
              <w:jc w:val="center"/>
              <w:rPr>
                <w:rFonts w:eastAsia="方正黑体_GBK"/>
                <w:color w:val="000000" w:themeColor="text1"/>
                <w:kern w:val="0"/>
                <w:szCs w:val="21"/>
                <w14:textFill>
                  <w14:solidFill>
                    <w14:schemeClr w14:val="tx1"/>
                  </w14:solidFill>
                </w14:textFill>
              </w:rPr>
            </w:pPr>
            <w:r>
              <w:rPr>
                <w:rFonts w:eastAsia="方正黑体_GBK"/>
                <w:color w:val="000000" w:themeColor="text1"/>
                <w:kern w:val="0"/>
                <w:szCs w:val="21"/>
                <w14:textFill>
                  <w14:solidFill>
                    <w14:schemeClr w14:val="tx1"/>
                  </w14:solidFill>
                </w14:textFill>
              </w:rPr>
              <w:t>规上工业</w:t>
            </w:r>
          </w:p>
          <w:p>
            <w:pPr>
              <w:widowControl/>
              <w:spacing w:line="360" w:lineRule="exact"/>
              <w:jc w:val="center"/>
              <w:rPr>
                <w:rFonts w:eastAsia="方正黑体_GBK"/>
                <w:color w:val="000000" w:themeColor="text1"/>
                <w:kern w:val="0"/>
                <w:szCs w:val="21"/>
                <w14:textFill>
                  <w14:solidFill>
                    <w14:schemeClr w14:val="tx1"/>
                  </w14:solidFill>
                </w14:textFill>
              </w:rPr>
            </w:pPr>
            <w:r>
              <w:rPr>
                <w:rFonts w:eastAsia="方正黑体_GBK"/>
                <w:color w:val="000000" w:themeColor="text1"/>
                <w:kern w:val="0"/>
                <w:szCs w:val="21"/>
                <w14:textFill>
                  <w14:solidFill>
                    <w14:schemeClr w14:val="tx1"/>
                  </w14:solidFill>
                </w14:textFill>
              </w:rPr>
              <w:t>营业收入</w:t>
            </w:r>
          </w:p>
          <w:p>
            <w:pPr>
              <w:widowControl/>
              <w:spacing w:line="360" w:lineRule="exact"/>
              <w:jc w:val="center"/>
              <w:rPr>
                <w:rFonts w:eastAsia="方正黑体_GBK"/>
                <w:color w:val="000000" w:themeColor="text1"/>
                <w:kern w:val="0"/>
                <w:szCs w:val="21"/>
                <w14:textFill>
                  <w14:solidFill>
                    <w14:schemeClr w14:val="tx1"/>
                  </w14:solidFill>
                </w14:textFill>
              </w:rPr>
            </w:pPr>
            <w:r>
              <w:rPr>
                <w:rFonts w:eastAsia="方正黑体_GBK"/>
                <w:color w:val="000000" w:themeColor="text1"/>
                <w:szCs w:val="21"/>
                <w14:textFill>
                  <w14:solidFill>
                    <w14:schemeClr w14:val="tx1"/>
                  </w14:solidFill>
                </w14:textFill>
              </w:rPr>
              <w:t>（亿元）</w:t>
            </w:r>
          </w:p>
        </w:tc>
        <w:tc>
          <w:tcPr>
            <w:tcW w:w="1288" w:type="dxa"/>
            <w:vMerge w:val="restart"/>
            <w:tcBorders>
              <w:tl2br w:val="nil"/>
              <w:tr2bl w:val="nil"/>
            </w:tcBorders>
            <w:vAlign w:val="center"/>
          </w:tcPr>
          <w:p>
            <w:pPr>
              <w:widowControl/>
              <w:spacing w:line="360" w:lineRule="exact"/>
              <w:jc w:val="center"/>
              <w:rPr>
                <w:rFonts w:eastAsia="方正黑体_GBK"/>
                <w:color w:val="000000" w:themeColor="text1"/>
                <w:kern w:val="0"/>
                <w:szCs w:val="21"/>
                <w14:textFill>
                  <w14:solidFill>
                    <w14:schemeClr w14:val="tx1"/>
                  </w14:solidFill>
                </w14:textFill>
              </w:rPr>
            </w:pPr>
            <w:r>
              <w:rPr>
                <w:rFonts w:eastAsia="方正黑体_GBK"/>
                <w:color w:val="000000" w:themeColor="text1"/>
                <w:kern w:val="0"/>
                <w:szCs w:val="21"/>
                <w14:textFill>
                  <w14:solidFill>
                    <w14:schemeClr w14:val="tx1"/>
                  </w14:solidFill>
                </w14:textFill>
              </w:rPr>
              <w:t>规上工业</w:t>
            </w:r>
          </w:p>
          <w:p>
            <w:pPr>
              <w:widowControl/>
              <w:spacing w:line="360" w:lineRule="exact"/>
              <w:jc w:val="center"/>
              <w:rPr>
                <w:rFonts w:eastAsia="方正黑体_GBK"/>
                <w:color w:val="000000" w:themeColor="text1"/>
                <w:kern w:val="0"/>
                <w:szCs w:val="21"/>
                <w14:textFill>
                  <w14:solidFill>
                    <w14:schemeClr w14:val="tx1"/>
                  </w14:solidFill>
                </w14:textFill>
              </w:rPr>
            </w:pPr>
            <w:r>
              <w:rPr>
                <w:rFonts w:eastAsia="方正黑体_GBK"/>
                <w:color w:val="000000" w:themeColor="text1"/>
                <w:kern w:val="0"/>
                <w:szCs w:val="21"/>
                <w14:textFill>
                  <w14:solidFill>
                    <w14:schemeClr w14:val="tx1"/>
                  </w14:solidFill>
                </w14:textFill>
              </w:rPr>
              <w:t>增加值</w:t>
            </w:r>
          </w:p>
          <w:p>
            <w:pPr>
              <w:spacing w:line="360" w:lineRule="exact"/>
              <w:jc w:val="center"/>
              <w:rPr>
                <w:rFonts w:eastAsia="方正黑体_GBK"/>
                <w:color w:val="000000" w:themeColor="text1"/>
                <w:szCs w:val="21"/>
                <w14:textFill>
                  <w14:solidFill>
                    <w14:schemeClr w14:val="tx1"/>
                  </w14:solidFill>
                </w14:textFill>
              </w:rPr>
            </w:pPr>
            <w:r>
              <w:rPr>
                <w:rFonts w:eastAsia="方正黑体_GBK"/>
                <w:color w:val="000000" w:themeColor="text1"/>
                <w:szCs w:val="21"/>
                <w14:textFill>
                  <w14:solidFill>
                    <w14:schemeClr w14:val="tx1"/>
                  </w14:solidFill>
                </w14:textFill>
              </w:rPr>
              <w:t>（亿元）</w:t>
            </w:r>
          </w:p>
        </w:tc>
        <w:tc>
          <w:tcPr>
            <w:tcW w:w="2337" w:type="dxa"/>
            <w:gridSpan w:val="2"/>
            <w:tcBorders>
              <w:tl2br w:val="nil"/>
              <w:tr2bl w:val="nil"/>
            </w:tcBorders>
            <w:vAlign w:val="center"/>
          </w:tcPr>
          <w:p>
            <w:pPr>
              <w:widowControl/>
              <w:spacing w:line="360" w:lineRule="exact"/>
              <w:jc w:val="center"/>
              <w:rPr>
                <w:rFonts w:eastAsia="方正黑体_GBK"/>
                <w:color w:val="000000" w:themeColor="text1"/>
                <w:kern w:val="0"/>
                <w:szCs w:val="21"/>
                <w14:textFill>
                  <w14:solidFill>
                    <w14:schemeClr w14:val="tx1"/>
                  </w14:solidFill>
                </w14:textFill>
              </w:rPr>
            </w:pPr>
            <w:r>
              <w:rPr>
                <w:rFonts w:eastAsia="方正黑体_GBK"/>
                <w:color w:val="000000" w:themeColor="text1"/>
                <w:kern w:val="0"/>
                <w:szCs w:val="21"/>
                <w14:textFill>
                  <w14:solidFill>
                    <w14:schemeClr w14:val="tx1"/>
                  </w14:solidFill>
                </w14:textFill>
              </w:rPr>
              <w:t>工业用电</w:t>
            </w:r>
          </w:p>
        </w:tc>
        <w:tc>
          <w:tcPr>
            <w:tcW w:w="2553" w:type="dxa"/>
            <w:gridSpan w:val="2"/>
            <w:tcBorders>
              <w:tl2br w:val="nil"/>
              <w:tr2bl w:val="nil"/>
            </w:tcBorders>
            <w:vAlign w:val="center"/>
          </w:tcPr>
          <w:p>
            <w:pPr>
              <w:widowControl/>
              <w:spacing w:line="360" w:lineRule="exact"/>
              <w:jc w:val="center"/>
              <w:rPr>
                <w:rFonts w:eastAsia="方正黑体_GBK"/>
                <w:color w:val="000000" w:themeColor="text1"/>
                <w:kern w:val="0"/>
                <w:szCs w:val="21"/>
                <w14:textFill>
                  <w14:solidFill>
                    <w14:schemeClr w14:val="tx1"/>
                  </w14:solidFill>
                </w14:textFill>
              </w:rPr>
            </w:pPr>
            <w:r>
              <w:rPr>
                <w:rFonts w:eastAsia="方正黑体_GBK"/>
                <w:color w:val="000000" w:themeColor="text1"/>
                <w:kern w:val="0"/>
                <w:szCs w:val="21"/>
                <w14:textFill>
                  <w14:solidFill>
                    <w14:schemeClr w14:val="tx1"/>
                  </w14:solidFill>
                </w14:textFill>
              </w:rPr>
              <w:t>工业开票销售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tcBorders>
              <w:tl2br w:val="nil"/>
              <w:tr2bl w:val="nil"/>
            </w:tcBorders>
            <w:vAlign w:val="center"/>
          </w:tcPr>
          <w:p>
            <w:pPr>
              <w:widowControl/>
              <w:spacing w:line="360" w:lineRule="exact"/>
              <w:jc w:val="center"/>
              <w:rPr>
                <w:rFonts w:eastAsia="方正黑体_GBK"/>
                <w:color w:val="000000" w:themeColor="text1"/>
                <w:kern w:val="0"/>
                <w:szCs w:val="21"/>
                <w14:textFill>
                  <w14:solidFill>
                    <w14:schemeClr w14:val="tx1"/>
                  </w14:solidFill>
                </w14:textFill>
              </w:rPr>
            </w:pPr>
          </w:p>
        </w:tc>
        <w:tc>
          <w:tcPr>
            <w:tcW w:w="1117" w:type="dxa"/>
            <w:vMerge w:val="continue"/>
            <w:tcBorders>
              <w:tl2br w:val="nil"/>
              <w:tr2bl w:val="nil"/>
            </w:tcBorders>
            <w:vAlign w:val="center"/>
          </w:tcPr>
          <w:p>
            <w:pPr>
              <w:widowControl/>
              <w:spacing w:line="360" w:lineRule="exact"/>
              <w:jc w:val="center"/>
              <w:rPr>
                <w:rFonts w:eastAsia="方正黑体_GBK"/>
                <w:color w:val="000000" w:themeColor="text1"/>
                <w:kern w:val="0"/>
                <w:szCs w:val="21"/>
                <w14:textFill>
                  <w14:solidFill>
                    <w14:schemeClr w14:val="tx1"/>
                  </w14:solidFill>
                </w14:textFill>
              </w:rPr>
            </w:pPr>
          </w:p>
        </w:tc>
        <w:tc>
          <w:tcPr>
            <w:tcW w:w="1288" w:type="dxa"/>
            <w:vMerge w:val="continue"/>
            <w:tcBorders>
              <w:tl2br w:val="nil"/>
              <w:tr2bl w:val="nil"/>
            </w:tcBorders>
            <w:vAlign w:val="center"/>
          </w:tcPr>
          <w:p>
            <w:pPr>
              <w:widowControl/>
              <w:spacing w:line="360" w:lineRule="exact"/>
              <w:jc w:val="center"/>
              <w:rPr>
                <w:rFonts w:eastAsia="方正黑体_GBK"/>
                <w:color w:val="000000" w:themeColor="text1"/>
                <w:kern w:val="0"/>
                <w:szCs w:val="21"/>
                <w14:textFill>
                  <w14:solidFill>
                    <w14:schemeClr w14:val="tx1"/>
                  </w14:solidFill>
                </w14:textFill>
              </w:rPr>
            </w:pPr>
          </w:p>
        </w:tc>
        <w:tc>
          <w:tcPr>
            <w:tcW w:w="1264" w:type="dxa"/>
            <w:tcBorders>
              <w:tl2br w:val="nil"/>
              <w:tr2bl w:val="nil"/>
            </w:tcBorders>
            <w:vAlign w:val="center"/>
          </w:tcPr>
          <w:p>
            <w:pPr>
              <w:widowControl/>
              <w:spacing w:line="360" w:lineRule="exact"/>
              <w:jc w:val="center"/>
              <w:rPr>
                <w:rFonts w:eastAsia="方正黑体_GBK"/>
                <w:color w:val="000000" w:themeColor="text1"/>
                <w:spacing w:val="-20"/>
                <w:kern w:val="0"/>
                <w:szCs w:val="21"/>
                <w14:textFill>
                  <w14:solidFill>
                    <w14:schemeClr w14:val="tx1"/>
                  </w14:solidFill>
                </w14:textFill>
              </w:rPr>
            </w:pPr>
            <w:r>
              <w:rPr>
                <w:rFonts w:eastAsia="方正黑体_GBK"/>
                <w:color w:val="000000" w:themeColor="text1"/>
                <w:spacing w:val="-20"/>
                <w:kern w:val="0"/>
                <w:szCs w:val="21"/>
                <w14:textFill>
                  <w14:solidFill>
                    <w14:schemeClr w14:val="tx1"/>
                  </w14:solidFill>
                </w14:textFill>
              </w:rPr>
              <w:t>工业用电量</w:t>
            </w:r>
          </w:p>
          <w:p>
            <w:pPr>
              <w:widowControl/>
              <w:spacing w:line="360" w:lineRule="exact"/>
              <w:jc w:val="center"/>
              <w:rPr>
                <w:rFonts w:eastAsia="方正黑体_GBK"/>
                <w:color w:val="000000" w:themeColor="text1"/>
                <w:kern w:val="0"/>
                <w:szCs w:val="21"/>
                <w14:textFill>
                  <w14:solidFill>
                    <w14:schemeClr w14:val="tx1"/>
                  </w14:solidFill>
                </w14:textFill>
              </w:rPr>
            </w:pPr>
            <w:r>
              <w:rPr>
                <w:rFonts w:eastAsia="方正黑体_GBK"/>
                <w:color w:val="000000" w:themeColor="text1"/>
                <w:spacing w:val="-20"/>
                <w:kern w:val="0"/>
                <w:szCs w:val="21"/>
                <w14:textFill>
                  <w14:solidFill>
                    <w14:schemeClr w14:val="tx1"/>
                  </w14:solidFill>
                </w14:textFill>
              </w:rPr>
              <w:t>（亿千瓦时）</w:t>
            </w:r>
          </w:p>
        </w:tc>
        <w:tc>
          <w:tcPr>
            <w:tcW w:w="1073" w:type="dxa"/>
            <w:tcBorders>
              <w:tl2br w:val="nil"/>
              <w:tr2bl w:val="nil"/>
            </w:tcBorders>
            <w:vAlign w:val="center"/>
          </w:tcPr>
          <w:p>
            <w:pPr>
              <w:widowControl/>
              <w:spacing w:line="360" w:lineRule="exact"/>
              <w:jc w:val="center"/>
              <w:rPr>
                <w:rFonts w:eastAsia="方正黑体_GBK"/>
                <w:color w:val="000000" w:themeColor="text1"/>
                <w:spacing w:val="-20"/>
                <w:kern w:val="0"/>
                <w:szCs w:val="21"/>
                <w14:textFill>
                  <w14:solidFill>
                    <w14:schemeClr w14:val="tx1"/>
                  </w14:solidFill>
                </w14:textFill>
              </w:rPr>
            </w:pPr>
            <w:r>
              <w:rPr>
                <w:rFonts w:eastAsia="方正黑体_GBK"/>
                <w:color w:val="000000" w:themeColor="text1"/>
                <w:spacing w:val="-20"/>
                <w:kern w:val="0"/>
                <w:szCs w:val="21"/>
                <w14:textFill>
                  <w14:solidFill>
                    <w14:schemeClr w14:val="tx1"/>
                  </w14:solidFill>
                </w14:textFill>
              </w:rPr>
              <w:t>占全省比重</w:t>
            </w:r>
          </w:p>
          <w:p>
            <w:pPr>
              <w:widowControl/>
              <w:spacing w:line="360" w:lineRule="exact"/>
              <w:jc w:val="center"/>
              <w:rPr>
                <w:rFonts w:eastAsia="方正黑体_GBK"/>
                <w:color w:val="000000" w:themeColor="text1"/>
                <w:kern w:val="0"/>
                <w:szCs w:val="21"/>
                <w14:textFill>
                  <w14:solidFill>
                    <w14:schemeClr w14:val="tx1"/>
                  </w14:solidFill>
                </w14:textFill>
              </w:rPr>
            </w:pPr>
            <w:r>
              <w:rPr>
                <w:rFonts w:eastAsia="方正黑体_GBK"/>
                <w:color w:val="000000" w:themeColor="text1"/>
                <w:szCs w:val="21"/>
                <w14:textFill>
                  <w14:solidFill>
                    <w14:schemeClr w14:val="tx1"/>
                  </w14:solidFill>
                </w14:textFill>
              </w:rPr>
              <w:t>（%）</w:t>
            </w:r>
          </w:p>
        </w:tc>
        <w:tc>
          <w:tcPr>
            <w:tcW w:w="1397" w:type="dxa"/>
            <w:tcBorders>
              <w:tl2br w:val="nil"/>
              <w:tr2bl w:val="nil"/>
            </w:tcBorders>
            <w:vAlign w:val="center"/>
          </w:tcPr>
          <w:p>
            <w:pPr>
              <w:widowControl/>
              <w:spacing w:line="360" w:lineRule="exact"/>
              <w:jc w:val="center"/>
              <w:rPr>
                <w:rFonts w:eastAsia="方正黑体_GBK"/>
                <w:color w:val="000000" w:themeColor="text1"/>
                <w:spacing w:val="-20"/>
                <w:kern w:val="0"/>
                <w:szCs w:val="21"/>
                <w14:textFill>
                  <w14:solidFill>
                    <w14:schemeClr w14:val="tx1"/>
                  </w14:solidFill>
                </w14:textFill>
              </w:rPr>
            </w:pPr>
            <w:r>
              <w:rPr>
                <w:rFonts w:eastAsia="方正黑体_GBK"/>
                <w:color w:val="000000" w:themeColor="text1"/>
                <w:spacing w:val="-20"/>
                <w:kern w:val="0"/>
                <w:szCs w:val="21"/>
                <w14:textFill>
                  <w14:solidFill>
                    <w14:schemeClr w14:val="tx1"/>
                  </w14:solidFill>
                </w14:textFill>
              </w:rPr>
              <w:t>工业开票销售</w:t>
            </w:r>
          </w:p>
          <w:p>
            <w:pPr>
              <w:spacing w:line="360" w:lineRule="exact"/>
              <w:rPr>
                <w:rFonts w:eastAsia="方正黑体_GBK"/>
                <w:color w:val="000000" w:themeColor="text1"/>
                <w:szCs w:val="21"/>
                <w14:textFill>
                  <w14:solidFill>
                    <w14:schemeClr w14:val="tx1"/>
                  </w14:solidFill>
                </w14:textFill>
              </w:rPr>
            </w:pPr>
            <w:r>
              <w:rPr>
                <w:rFonts w:eastAsia="方正黑体_GBK"/>
                <w:color w:val="000000" w:themeColor="text1"/>
                <w:szCs w:val="21"/>
                <w14:textFill>
                  <w14:solidFill>
                    <w14:schemeClr w14:val="tx1"/>
                  </w14:solidFill>
                </w14:textFill>
              </w:rPr>
              <w:t>（亿元）</w:t>
            </w:r>
          </w:p>
        </w:tc>
        <w:tc>
          <w:tcPr>
            <w:tcW w:w="1156" w:type="dxa"/>
            <w:tcBorders>
              <w:tl2br w:val="nil"/>
              <w:tr2bl w:val="nil"/>
            </w:tcBorders>
            <w:vAlign w:val="center"/>
          </w:tcPr>
          <w:p>
            <w:pPr>
              <w:widowControl/>
              <w:spacing w:line="360" w:lineRule="exact"/>
              <w:jc w:val="center"/>
              <w:rPr>
                <w:rFonts w:eastAsia="方正黑体_GBK"/>
                <w:color w:val="000000" w:themeColor="text1"/>
                <w:spacing w:val="-20"/>
                <w:kern w:val="0"/>
                <w:szCs w:val="21"/>
                <w14:textFill>
                  <w14:solidFill>
                    <w14:schemeClr w14:val="tx1"/>
                  </w14:solidFill>
                </w14:textFill>
              </w:rPr>
            </w:pPr>
            <w:r>
              <w:rPr>
                <w:rFonts w:eastAsia="方正黑体_GBK"/>
                <w:color w:val="000000" w:themeColor="text1"/>
                <w:spacing w:val="-20"/>
                <w:kern w:val="0"/>
                <w:szCs w:val="21"/>
                <w14:textFill>
                  <w14:solidFill>
                    <w14:schemeClr w14:val="tx1"/>
                  </w14:solidFill>
                </w14:textFill>
              </w:rPr>
              <w:t>占全省比重</w:t>
            </w:r>
          </w:p>
          <w:p>
            <w:pPr>
              <w:widowControl/>
              <w:spacing w:line="360" w:lineRule="exact"/>
              <w:jc w:val="center"/>
              <w:rPr>
                <w:rFonts w:eastAsia="方正黑体_GBK"/>
                <w:color w:val="000000" w:themeColor="text1"/>
                <w:spacing w:val="-20"/>
                <w:kern w:val="0"/>
                <w:szCs w:val="21"/>
                <w14:textFill>
                  <w14:solidFill>
                    <w14:schemeClr w14:val="tx1"/>
                  </w14:solidFill>
                </w14:textFill>
              </w:rPr>
            </w:pPr>
            <w:r>
              <w:rPr>
                <w:rFonts w:eastAsia="方正黑体_GBK"/>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tcBorders>
              <w:tl2br w:val="nil"/>
              <w:tr2bl w:val="nil"/>
            </w:tcBorders>
            <w:vAlign w:val="center"/>
          </w:tcPr>
          <w:p>
            <w:pPr>
              <w:widowControl/>
              <w:spacing w:line="440" w:lineRule="exact"/>
              <w:jc w:val="center"/>
              <w:rPr>
                <w:rFonts w:eastAsia="方正楷体_GBK"/>
                <w:color w:val="000000" w:themeColor="text1"/>
                <w:spacing w:val="-24"/>
                <w:kern w:val="0"/>
                <w:szCs w:val="21"/>
                <w14:textFill>
                  <w14:solidFill>
                    <w14:schemeClr w14:val="tx1"/>
                  </w14:solidFill>
                </w14:textFill>
              </w:rPr>
            </w:pPr>
            <w:r>
              <w:rPr>
                <w:rFonts w:hint="eastAsia" w:eastAsia="方正楷体_GBK"/>
                <w:color w:val="000000" w:themeColor="text1"/>
                <w:spacing w:val="-24"/>
                <w:kern w:val="0"/>
                <w:szCs w:val="21"/>
                <w14:textFill>
                  <w14:solidFill>
                    <w14:schemeClr w14:val="tx1"/>
                  </w14:solidFill>
                </w14:textFill>
              </w:rPr>
              <w:t>“十三五”目标</w:t>
            </w:r>
          </w:p>
        </w:tc>
        <w:tc>
          <w:tcPr>
            <w:tcW w:w="1117" w:type="dxa"/>
            <w:tcBorders>
              <w:tl2br w:val="nil"/>
              <w:tr2bl w:val="nil"/>
            </w:tcBorders>
            <w:vAlign w:val="center"/>
          </w:tcPr>
          <w:p>
            <w:pPr>
              <w:widowControl/>
              <w:spacing w:line="440" w:lineRule="exact"/>
              <w:jc w:val="center"/>
              <w:rPr>
                <w:rFonts w:eastAsiaTheme="minorEastAsia"/>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6000</w:t>
            </w:r>
          </w:p>
        </w:tc>
        <w:tc>
          <w:tcPr>
            <w:tcW w:w="1288" w:type="dxa"/>
            <w:tcBorders>
              <w:tl2br w:val="nil"/>
              <w:tr2bl w:val="nil"/>
            </w:tcBorders>
            <w:vAlign w:val="center"/>
          </w:tcPr>
          <w:p>
            <w:pPr>
              <w:widowControl/>
              <w:spacing w:line="440" w:lineRule="exact"/>
              <w:jc w:val="center"/>
              <w:rPr>
                <w:rFonts w:eastAsiaTheme="minorEastAsia"/>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1600</w:t>
            </w:r>
          </w:p>
        </w:tc>
        <w:tc>
          <w:tcPr>
            <w:tcW w:w="1264" w:type="dxa"/>
            <w:tcBorders>
              <w:tl2br w:val="nil"/>
              <w:tr2bl w:val="nil"/>
            </w:tcBorders>
            <w:vAlign w:val="center"/>
          </w:tcPr>
          <w:p>
            <w:pPr>
              <w:widowControl/>
              <w:spacing w:line="440" w:lineRule="exact"/>
              <w:jc w:val="center"/>
              <w:rPr>
                <w:rFonts w:eastAsiaTheme="minorEastAsia"/>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1073" w:type="dxa"/>
            <w:tcBorders>
              <w:tl2br w:val="nil"/>
              <w:tr2bl w:val="nil"/>
            </w:tcBorders>
            <w:vAlign w:val="center"/>
          </w:tcPr>
          <w:p>
            <w:pPr>
              <w:widowControl/>
              <w:spacing w:line="440" w:lineRule="exact"/>
              <w:jc w:val="center"/>
              <w:rPr>
                <w:rFonts w:eastAsiaTheme="minorEastAsia"/>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1397" w:type="dxa"/>
            <w:tcBorders>
              <w:tl2br w:val="nil"/>
              <w:tr2bl w:val="nil"/>
            </w:tcBorders>
            <w:vAlign w:val="center"/>
          </w:tcPr>
          <w:p>
            <w:pPr>
              <w:widowControl/>
              <w:spacing w:line="440" w:lineRule="exact"/>
              <w:jc w:val="center"/>
              <w:rPr>
                <w:rFonts w:eastAsiaTheme="minorEastAsia"/>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1156" w:type="dxa"/>
            <w:tcBorders>
              <w:tl2br w:val="nil"/>
              <w:tr2bl w:val="nil"/>
            </w:tcBorders>
            <w:vAlign w:val="center"/>
          </w:tcPr>
          <w:p>
            <w:pPr>
              <w:widowControl/>
              <w:spacing w:line="440" w:lineRule="exact"/>
              <w:jc w:val="center"/>
              <w:rPr>
                <w:rFonts w:eastAsiaTheme="minorEastAsia"/>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tcBorders>
              <w:tl2br w:val="nil"/>
              <w:tr2bl w:val="nil"/>
            </w:tcBorders>
            <w:vAlign w:val="center"/>
          </w:tcPr>
          <w:p>
            <w:pPr>
              <w:widowControl/>
              <w:spacing w:line="440" w:lineRule="exact"/>
              <w:jc w:val="center"/>
              <w:rPr>
                <w:rFonts w:eastAsia="方正楷体_GBK"/>
                <w:color w:val="000000" w:themeColor="text1"/>
                <w:kern w:val="0"/>
                <w:szCs w:val="21"/>
                <w14:textFill>
                  <w14:solidFill>
                    <w14:schemeClr w14:val="tx1"/>
                  </w14:solidFill>
                </w14:textFill>
              </w:rPr>
            </w:pPr>
            <w:r>
              <w:rPr>
                <w:rFonts w:eastAsia="方正楷体_GBK"/>
                <w:color w:val="000000" w:themeColor="text1"/>
                <w:kern w:val="0"/>
                <w:szCs w:val="21"/>
                <w14:textFill>
                  <w14:solidFill>
                    <w14:schemeClr w14:val="tx1"/>
                  </w14:solidFill>
                </w14:textFill>
              </w:rPr>
              <w:t>2016年</w:t>
            </w:r>
          </w:p>
        </w:tc>
        <w:tc>
          <w:tcPr>
            <w:tcW w:w="1117" w:type="dxa"/>
            <w:tcBorders>
              <w:tl2br w:val="nil"/>
              <w:tr2bl w:val="nil"/>
            </w:tcBorders>
            <w:vAlign w:val="center"/>
          </w:tcPr>
          <w:p>
            <w:pPr>
              <w:widowControl/>
              <w:spacing w:line="440" w:lineRule="exact"/>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4077</w:t>
            </w:r>
          </w:p>
        </w:tc>
        <w:tc>
          <w:tcPr>
            <w:tcW w:w="1288"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1090</w:t>
            </w:r>
          </w:p>
        </w:tc>
        <w:tc>
          <w:tcPr>
            <w:tcW w:w="1264"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116</w:t>
            </w:r>
          </w:p>
        </w:tc>
        <w:tc>
          <w:tcPr>
            <w:tcW w:w="1073"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2.8</w:t>
            </w:r>
          </w:p>
        </w:tc>
        <w:tc>
          <w:tcPr>
            <w:tcW w:w="1397"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1747</w:t>
            </w:r>
          </w:p>
        </w:tc>
        <w:tc>
          <w:tcPr>
            <w:tcW w:w="1156"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tcBorders>
              <w:tl2br w:val="nil"/>
              <w:tr2bl w:val="nil"/>
            </w:tcBorders>
            <w:vAlign w:val="center"/>
          </w:tcPr>
          <w:p>
            <w:pPr>
              <w:widowControl/>
              <w:spacing w:line="440" w:lineRule="exact"/>
              <w:jc w:val="center"/>
              <w:rPr>
                <w:rFonts w:eastAsia="方正楷体_GBK"/>
                <w:color w:val="000000" w:themeColor="text1"/>
                <w:kern w:val="0"/>
                <w:szCs w:val="21"/>
                <w14:textFill>
                  <w14:solidFill>
                    <w14:schemeClr w14:val="tx1"/>
                  </w14:solidFill>
                </w14:textFill>
              </w:rPr>
            </w:pPr>
            <w:r>
              <w:rPr>
                <w:rFonts w:eastAsia="方正楷体_GBK"/>
                <w:color w:val="000000" w:themeColor="text1"/>
                <w:kern w:val="0"/>
                <w:szCs w:val="21"/>
                <w14:textFill>
                  <w14:solidFill>
                    <w14:schemeClr w14:val="tx1"/>
                  </w14:solidFill>
                </w14:textFill>
              </w:rPr>
              <w:t>2017年</w:t>
            </w:r>
          </w:p>
        </w:tc>
        <w:tc>
          <w:tcPr>
            <w:tcW w:w="1117" w:type="dxa"/>
            <w:tcBorders>
              <w:tl2br w:val="nil"/>
              <w:tr2bl w:val="nil"/>
            </w:tcBorders>
            <w:vAlign w:val="center"/>
          </w:tcPr>
          <w:p>
            <w:pPr>
              <w:widowControl/>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2756</w:t>
            </w:r>
          </w:p>
        </w:tc>
        <w:tc>
          <w:tcPr>
            <w:tcW w:w="1288"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903</w:t>
            </w:r>
          </w:p>
        </w:tc>
        <w:tc>
          <w:tcPr>
            <w:tcW w:w="1264"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114</w:t>
            </w:r>
          </w:p>
        </w:tc>
        <w:tc>
          <w:tcPr>
            <w:tcW w:w="1073"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2.8</w:t>
            </w:r>
          </w:p>
        </w:tc>
        <w:tc>
          <w:tcPr>
            <w:tcW w:w="1397"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2123</w:t>
            </w:r>
          </w:p>
        </w:tc>
        <w:tc>
          <w:tcPr>
            <w:tcW w:w="1156"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tcBorders>
              <w:tl2br w:val="nil"/>
              <w:tr2bl w:val="nil"/>
            </w:tcBorders>
            <w:vAlign w:val="center"/>
          </w:tcPr>
          <w:p>
            <w:pPr>
              <w:widowControl/>
              <w:spacing w:line="440" w:lineRule="exact"/>
              <w:jc w:val="center"/>
              <w:rPr>
                <w:rFonts w:eastAsia="方正楷体_GBK"/>
                <w:color w:val="000000" w:themeColor="text1"/>
                <w:kern w:val="0"/>
                <w:szCs w:val="21"/>
                <w14:textFill>
                  <w14:solidFill>
                    <w14:schemeClr w14:val="tx1"/>
                  </w14:solidFill>
                </w14:textFill>
              </w:rPr>
            </w:pPr>
            <w:r>
              <w:rPr>
                <w:rFonts w:eastAsia="方正楷体_GBK"/>
                <w:color w:val="000000" w:themeColor="text1"/>
                <w:kern w:val="0"/>
                <w:szCs w:val="21"/>
                <w14:textFill>
                  <w14:solidFill>
                    <w14:schemeClr w14:val="tx1"/>
                  </w14:solidFill>
                </w14:textFill>
              </w:rPr>
              <w:t>2018年</w:t>
            </w:r>
          </w:p>
        </w:tc>
        <w:tc>
          <w:tcPr>
            <w:tcW w:w="1117" w:type="dxa"/>
            <w:tcBorders>
              <w:tl2br w:val="nil"/>
              <w:tr2bl w:val="nil"/>
            </w:tcBorders>
            <w:vAlign w:val="center"/>
          </w:tcPr>
          <w:p>
            <w:pPr>
              <w:widowControl/>
              <w:spacing w:line="440" w:lineRule="exact"/>
              <w:jc w:val="center"/>
              <w:rPr>
                <w:color w:val="000000" w:themeColor="text1"/>
                <w:szCs w:val="21"/>
                <w14:textFill>
                  <w14:solidFill>
                    <w14:schemeClr w14:val="tx1"/>
                  </w14:solidFill>
                </w14:textFill>
              </w:rPr>
            </w:pPr>
            <w:r>
              <w:rPr>
                <w:color w:val="000000" w:themeColor="text1"/>
                <w:szCs w:val="21"/>
                <w:shd w:val="clear" w:color="auto" w:fill="FFFFFF"/>
                <w14:textFill>
                  <w14:solidFill>
                    <w14:schemeClr w14:val="tx1"/>
                  </w14:solidFill>
                </w14:textFill>
              </w:rPr>
              <w:t>2189</w:t>
            </w:r>
          </w:p>
        </w:tc>
        <w:tc>
          <w:tcPr>
            <w:tcW w:w="1288"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747</w:t>
            </w:r>
          </w:p>
        </w:tc>
        <w:tc>
          <w:tcPr>
            <w:tcW w:w="1264"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124</w:t>
            </w:r>
          </w:p>
        </w:tc>
        <w:tc>
          <w:tcPr>
            <w:tcW w:w="1073"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2.8</w:t>
            </w:r>
          </w:p>
        </w:tc>
        <w:tc>
          <w:tcPr>
            <w:tcW w:w="1397"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2474</w:t>
            </w:r>
          </w:p>
        </w:tc>
        <w:tc>
          <w:tcPr>
            <w:tcW w:w="1156" w:type="dxa"/>
            <w:tcBorders>
              <w:tl2br w:val="nil"/>
              <w:tr2bl w:val="nil"/>
            </w:tcBorders>
            <w:vAlign w:val="center"/>
          </w:tcPr>
          <w:p>
            <w:pPr>
              <w:widowControl/>
              <w:spacing w:line="440" w:lineRule="exact"/>
              <w:jc w:val="center"/>
              <w:rPr>
                <w:rFonts w:eastAsiaTheme="minorEastAsia"/>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tcBorders>
              <w:tl2br w:val="nil"/>
              <w:tr2bl w:val="nil"/>
            </w:tcBorders>
            <w:vAlign w:val="center"/>
          </w:tcPr>
          <w:p>
            <w:pPr>
              <w:widowControl/>
              <w:spacing w:line="440" w:lineRule="exact"/>
              <w:jc w:val="center"/>
              <w:rPr>
                <w:rFonts w:eastAsia="方正楷体_GBK"/>
                <w:color w:val="000000" w:themeColor="text1"/>
                <w:kern w:val="0"/>
                <w:szCs w:val="21"/>
                <w14:textFill>
                  <w14:solidFill>
                    <w14:schemeClr w14:val="tx1"/>
                  </w14:solidFill>
                </w14:textFill>
              </w:rPr>
            </w:pPr>
            <w:r>
              <w:rPr>
                <w:rFonts w:eastAsia="方正楷体_GBK"/>
                <w:color w:val="000000" w:themeColor="text1"/>
                <w:kern w:val="0"/>
                <w:szCs w:val="21"/>
                <w14:textFill>
                  <w14:solidFill>
                    <w14:schemeClr w14:val="tx1"/>
                  </w14:solidFill>
                </w14:textFill>
              </w:rPr>
              <w:t>2019年</w:t>
            </w:r>
          </w:p>
        </w:tc>
        <w:tc>
          <w:tcPr>
            <w:tcW w:w="1117"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2436</w:t>
            </w:r>
          </w:p>
        </w:tc>
        <w:tc>
          <w:tcPr>
            <w:tcW w:w="1288"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769</w:t>
            </w:r>
          </w:p>
        </w:tc>
        <w:tc>
          <w:tcPr>
            <w:tcW w:w="1264"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138</w:t>
            </w:r>
          </w:p>
        </w:tc>
        <w:tc>
          <w:tcPr>
            <w:tcW w:w="1073"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3.1</w:t>
            </w:r>
          </w:p>
        </w:tc>
        <w:tc>
          <w:tcPr>
            <w:tcW w:w="1397"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2768</w:t>
            </w:r>
          </w:p>
        </w:tc>
        <w:tc>
          <w:tcPr>
            <w:tcW w:w="1156" w:type="dxa"/>
            <w:tcBorders>
              <w:tl2br w:val="nil"/>
              <w:tr2bl w:val="nil"/>
            </w:tcBorders>
            <w:vAlign w:val="center"/>
          </w:tcPr>
          <w:p>
            <w:pPr>
              <w:widowControl/>
              <w:spacing w:line="440" w:lineRule="exact"/>
              <w:jc w:val="center"/>
              <w:rPr>
                <w:rFonts w:eastAsiaTheme="minorEastAsia"/>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tcBorders>
              <w:tl2br w:val="nil"/>
              <w:tr2bl w:val="nil"/>
            </w:tcBorders>
            <w:vAlign w:val="center"/>
          </w:tcPr>
          <w:p>
            <w:pPr>
              <w:widowControl/>
              <w:spacing w:line="440" w:lineRule="exact"/>
              <w:jc w:val="center"/>
              <w:rPr>
                <w:rFonts w:eastAsia="方正楷体_GBK"/>
                <w:color w:val="000000" w:themeColor="text1"/>
                <w:kern w:val="0"/>
                <w:szCs w:val="21"/>
                <w14:textFill>
                  <w14:solidFill>
                    <w14:schemeClr w14:val="tx1"/>
                  </w14:solidFill>
                </w14:textFill>
              </w:rPr>
            </w:pPr>
            <w:r>
              <w:rPr>
                <w:rFonts w:eastAsia="方正楷体_GBK"/>
                <w:color w:val="000000" w:themeColor="text1"/>
                <w:kern w:val="0"/>
                <w:szCs w:val="21"/>
                <w14:textFill>
                  <w14:solidFill>
                    <w14:schemeClr w14:val="tx1"/>
                  </w14:solidFill>
                </w14:textFill>
              </w:rPr>
              <w:t>2020年</w:t>
            </w:r>
          </w:p>
        </w:tc>
        <w:tc>
          <w:tcPr>
            <w:tcW w:w="1117"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2740</w:t>
            </w:r>
          </w:p>
        </w:tc>
        <w:tc>
          <w:tcPr>
            <w:tcW w:w="1288"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846</w:t>
            </w:r>
          </w:p>
        </w:tc>
        <w:tc>
          <w:tcPr>
            <w:tcW w:w="1264"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149</w:t>
            </w:r>
          </w:p>
        </w:tc>
        <w:tc>
          <w:tcPr>
            <w:tcW w:w="1073" w:type="dxa"/>
            <w:tcBorders>
              <w:tl2br w:val="nil"/>
              <w:tr2bl w:val="nil"/>
            </w:tcBorders>
            <w:vAlign w:val="center"/>
          </w:tcPr>
          <w:p>
            <w:pPr>
              <w:widowControl/>
              <w:spacing w:line="440" w:lineRule="exact"/>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3.3</w:t>
            </w:r>
          </w:p>
        </w:tc>
        <w:tc>
          <w:tcPr>
            <w:tcW w:w="1397" w:type="dxa"/>
            <w:tcBorders>
              <w:tl2br w:val="nil"/>
              <w:tr2bl w:val="nil"/>
            </w:tcBorders>
            <w:vAlign w:val="center"/>
          </w:tcPr>
          <w:p>
            <w:pPr>
              <w:widowControl/>
              <w:spacing w:line="4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3207</w:t>
            </w:r>
          </w:p>
        </w:tc>
        <w:tc>
          <w:tcPr>
            <w:tcW w:w="1156" w:type="dxa"/>
            <w:tcBorders>
              <w:tl2br w:val="nil"/>
              <w:tr2bl w:val="nil"/>
            </w:tcBorders>
            <w:vAlign w:val="center"/>
          </w:tcPr>
          <w:p>
            <w:pPr>
              <w:widowControl/>
              <w:spacing w:line="440" w:lineRule="exact"/>
              <w:jc w:val="center"/>
              <w:rPr>
                <w:rFonts w:eastAsiaTheme="minorEastAsia"/>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2.2</w:t>
            </w:r>
          </w:p>
        </w:tc>
      </w:tr>
    </w:tbl>
    <w:p>
      <w:pPr>
        <w:spacing w:line="580" w:lineRule="exact"/>
        <w:rPr>
          <w:color w:val="000000" w:themeColor="text1"/>
          <w:sz w:val="18"/>
          <w14:textFill>
            <w14:solidFill>
              <w14:schemeClr w14:val="tx1"/>
            </w14:solidFill>
          </w14:textFill>
        </w:rPr>
      </w:pPr>
      <w:r>
        <w:rPr>
          <w:rFonts w:hint="eastAsia"/>
          <w:color w:val="000000" w:themeColor="text1"/>
          <w:sz w:val="18"/>
          <w14:textFill>
            <w14:solidFill>
              <w14:schemeClr w14:val="tx1"/>
            </w14:solidFill>
          </w14:textFill>
        </w:rPr>
        <w:t>备注：因压实数据原因，规上工业营业收入和增加值2016年、2017年、2018年连续三年下降。</w:t>
      </w:r>
    </w:p>
    <w:p>
      <w:pPr>
        <w:pStyle w:val="8"/>
        <w:spacing w:before="156" w:beforeLines="50" w:after="0" w:line="580" w:lineRule="exact"/>
        <w:ind w:firstLine="640" w:firstLineChars="200"/>
        <w:rPr>
          <w:rFonts w:eastAsia="方正黑体_GBK"/>
          <w:b w:val="0"/>
          <w:color w:val="000000" w:themeColor="text1"/>
          <w14:textFill>
            <w14:solidFill>
              <w14:schemeClr w14:val="tx1"/>
            </w14:solidFill>
          </w14:textFill>
        </w:rPr>
      </w:pPr>
      <w:r>
        <w:rPr>
          <w:rFonts w:eastAsia="方正黑体_GBK"/>
          <w:b w:val="0"/>
          <w:color w:val="000000" w:themeColor="text1"/>
          <w14:textFill>
            <w14:solidFill>
              <w14:schemeClr w14:val="tx1"/>
            </w14:solidFill>
          </w14:textFill>
        </w:rPr>
        <w:t>二、产业结构逐步优化</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十三五</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期间，全市产业结构持续优化，对工业经济发展的支撑力不断增强。</w:t>
      </w:r>
      <w:r>
        <w:rPr>
          <w:rFonts w:hint="eastAsia"/>
          <w:b/>
          <w:color w:val="000000" w:themeColor="text1"/>
          <w:sz w:val="32"/>
          <w:szCs w:val="32"/>
          <w14:textFill>
            <w14:solidFill>
              <w14:schemeClr w14:val="tx1"/>
            </w14:solidFill>
          </w14:textFill>
        </w:rPr>
        <w:t>一是</w:t>
      </w:r>
      <w:r>
        <w:rPr>
          <w:b/>
          <w:color w:val="000000" w:themeColor="text1"/>
          <w:sz w:val="32"/>
          <w:szCs w:val="32"/>
          <w14:textFill>
            <w14:solidFill>
              <w14:schemeClr w14:val="tx1"/>
            </w14:solidFill>
          </w14:textFill>
        </w:rPr>
        <w:t>产业门类不断丰富</w:t>
      </w:r>
      <w:r>
        <w:rPr>
          <w:rFonts w:hint="eastAsia"/>
          <w:b/>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《国民经济行业分类》中，工业共分为采矿业、制造业和电力、热力、燃气及水生产供应业3个门类、41个行业大类。目前，我市工业体系涵盖</w:t>
      </w:r>
      <w:r>
        <w:rPr>
          <w:rFonts w:hint="eastAsia"/>
          <w:color w:val="000000" w:themeColor="text1"/>
          <w:sz w:val="32"/>
          <w:szCs w:val="32"/>
          <w14:textFill>
            <w14:solidFill>
              <w14:schemeClr w14:val="tx1"/>
            </w14:solidFill>
          </w14:textFill>
        </w:rPr>
        <w:t>了除采矿业之外的</w:t>
      </w:r>
      <w:r>
        <w:rPr>
          <w:color w:val="000000" w:themeColor="text1"/>
          <w:sz w:val="32"/>
          <w:szCs w:val="32"/>
          <w14:textFill>
            <w14:solidFill>
              <w14:schemeClr w14:val="tx1"/>
            </w14:solidFill>
          </w14:textFill>
        </w:rPr>
        <w:t>2个门类32个行业大类，工业经济体系较为齐全。</w:t>
      </w:r>
      <w:r>
        <w:rPr>
          <w:rFonts w:hint="eastAsia"/>
          <w:b/>
          <w:color w:val="000000" w:themeColor="text1"/>
          <w:sz w:val="32"/>
          <w:szCs w:val="32"/>
          <w14:textFill>
            <w14:solidFill>
              <w14:schemeClr w14:val="tx1"/>
            </w14:solidFill>
          </w14:textFill>
        </w:rPr>
        <w:t>二</w:t>
      </w:r>
      <w:r>
        <w:rPr>
          <w:b/>
          <w:color w:val="000000" w:themeColor="text1"/>
          <w:sz w:val="32"/>
          <w:szCs w:val="32"/>
          <w14:textFill>
            <w14:solidFill>
              <w14:schemeClr w14:val="tx1"/>
            </w14:solidFill>
          </w14:textFill>
        </w:rPr>
        <w:t>是产业体系持续优化</w:t>
      </w:r>
      <w:r>
        <w:rPr>
          <w:color w:val="000000" w:themeColor="text1"/>
          <w:sz w:val="32"/>
          <w:szCs w:val="32"/>
          <w14:textFill>
            <w14:solidFill>
              <w14:schemeClr w14:val="tx1"/>
            </w14:solidFill>
          </w14:textFill>
        </w:rPr>
        <w:t>。全市产业体系由</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4+4</w:t>
      </w:r>
      <w:r>
        <w:rPr>
          <w:rFonts w:hint="eastAsia"/>
          <w:color w:val="000000" w:themeColor="text1"/>
          <w:sz w:val="32"/>
          <w:szCs w:val="32"/>
          <w14:textFill>
            <w14:solidFill>
              <w14:schemeClr w14:val="tx1"/>
            </w14:solidFill>
          </w14:textFill>
        </w:rPr>
        <w:t>”产业</w:t>
      </w:r>
      <w:r>
        <w:rPr>
          <w:color w:val="000000" w:themeColor="text1"/>
          <w:sz w:val="32"/>
          <w:szCs w:val="32"/>
          <w14:textFill>
            <w14:solidFill>
              <w14:schemeClr w14:val="tx1"/>
            </w14:solidFill>
          </w14:textFill>
        </w:rPr>
        <w:t>（食品饮料、纺织服装、家居制造、机电装备4个特色产业和智能家电、绿色建材、功能材料、智能电网4个新兴产业）产业调整为2019年的</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5+4</w:t>
      </w:r>
      <w:r>
        <w:rPr>
          <w:rFonts w:hint="eastAsia"/>
          <w:color w:val="000000" w:themeColor="text1"/>
          <w:sz w:val="32"/>
          <w:szCs w:val="32"/>
          <w14:textFill>
            <w14:solidFill>
              <w14:schemeClr w14:val="tx1"/>
            </w14:solidFill>
          </w14:textFill>
        </w:rPr>
        <w:t>”产业</w:t>
      </w:r>
      <w:r>
        <w:rPr>
          <w:color w:val="000000" w:themeColor="text1"/>
          <w:sz w:val="32"/>
          <w:szCs w:val="32"/>
          <w14:textFill>
            <w14:solidFill>
              <w14:schemeClr w14:val="tx1"/>
            </w14:solidFill>
          </w14:textFill>
        </w:rPr>
        <w:t>（</w:t>
      </w:r>
      <w:r>
        <w:rPr>
          <w:color w:val="000000"/>
          <w:sz w:val="32"/>
          <w:szCs w:val="32"/>
          <w:shd w:val="clear" w:color="auto" w:fill="FFFFFF"/>
        </w:rPr>
        <w:t>机电装备、纺织服装、食品饮料、绿色家居、新材料5个主导产业和新型电子信息、新型碳材料、新型成形制造、无人机4个先导产业</w:t>
      </w:r>
      <w:r>
        <w:rPr>
          <w:color w:val="000000" w:themeColor="text1"/>
          <w:sz w:val="32"/>
          <w:szCs w:val="32"/>
          <w14:textFill>
            <w14:solidFill>
              <w14:schemeClr w14:val="tx1"/>
            </w14:solidFill>
          </w14:textFill>
        </w:rPr>
        <w:t>）产业，2020年进一步优化调整为</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6+3+X</w:t>
      </w:r>
      <w:r>
        <w:rPr>
          <w:rFonts w:hint="eastAsia"/>
          <w:color w:val="000000" w:themeColor="text1"/>
          <w:sz w:val="32"/>
          <w:szCs w:val="32"/>
          <w14:textFill>
            <w14:solidFill>
              <w14:schemeClr w14:val="tx1"/>
            </w14:solidFill>
          </w14:textFill>
        </w:rPr>
        <w:t>”产业</w:t>
      </w:r>
      <w:r>
        <w:rPr>
          <w:color w:val="000000" w:themeColor="text1"/>
          <w:sz w:val="32"/>
          <w:szCs w:val="32"/>
          <w14:textFill>
            <w14:solidFill>
              <w14:schemeClr w14:val="tx1"/>
            </w14:solidFill>
          </w14:textFill>
        </w:rPr>
        <w:t>（机电装备、光伏新能源、绿色食品、高端纺织、绿色家居、新材料六个主导产业和新一代信息技术、生物医药、数字经济+X个先导产业）</w:t>
      </w:r>
      <w:r>
        <w:rPr>
          <w:rFonts w:hint="eastAsia"/>
          <w:color w:val="000000" w:themeColor="text1"/>
          <w:sz w:val="32"/>
          <w:szCs w:val="32"/>
          <w14:textFill>
            <w14:solidFill>
              <w14:schemeClr w14:val="tx1"/>
            </w14:solidFill>
          </w14:textFill>
        </w:rPr>
        <w:t>，产业方向进一步明晰、产业体系持续优化</w:t>
      </w:r>
      <w:r>
        <w:rPr>
          <w:color w:val="000000" w:themeColor="text1"/>
          <w:sz w:val="32"/>
          <w:szCs w:val="32"/>
          <w14:textFill>
            <w14:solidFill>
              <w14:schemeClr w14:val="tx1"/>
            </w14:solidFill>
          </w14:textFill>
        </w:rPr>
        <w:t>。</w:t>
      </w:r>
      <w:r>
        <w:rPr>
          <w:rFonts w:hint="eastAsia"/>
          <w:b/>
          <w:color w:val="000000" w:themeColor="text1"/>
          <w:sz w:val="32"/>
          <w:szCs w:val="32"/>
          <w14:textFill>
            <w14:solidFill>
              <w14:schemeClr w14:val="tx1"/>
            </w14:solidFill>
          </w14:textFill>
        </w:rPr>
        <w:t>三</w:t>
      </w:r>
      <w:r>
        <w:rPr>
          <w:b/>
          <w:color w:val="000000" w:themeColor="text1"/>
          <w:sz w:val="32"/>
          <w:szCs w:val="32"/>
          <w14:textFill>
            <w14:solidFill>
              <w14:schemeClr w14:val="tx1"/>
            </w14:solidFill>
          </w14:textFill>
        </w:rPr>
        <w:t>是主导产业比重稳步提高</w:t>
      </w:r>
      <w:r>
        <w:rPr>
          <w:color w:val="000000" w:themeColor="text1"/>
          <w:sz w:val="32"/>
          <w:szCs w:val="32"/>
          <w14:textFill>
            <w14:solidFill>
              <w14:schemeClr w14:val="tx1"/>
            </w14:solidFill>
          </w14:textFill>
        </w:rPr>
        <w:t>。</w:t>
      </w:r>
      <w:r>
        <w:rPr>
          <w:rFonts w:hint="eastAsia"/>
          <w:color w:val="000000" w:themeColor="text1"/>
          <w:sz w:val="32"/>
          <w:szCs w:val="32"/>
          <w14:textFill>
            <w14:solidFill>
              <w14:schemeClr w14:val="tx1"/>
            </w14:solidFill>
          </w14:textFill>
        </w:rPr>
        <w:t>2020年，我市“6+3”产业总产值为2577.7亿元，其中6个主导产业产值为2201.8亿元，</w:t>
      </w:r>
      <w:r>
        <w:rPr>
          <w:color w:val="000000" w:themeColor="text1"/>
          <w:sz w:val="32"/>
          <w:szCs w:val="32"/>
          <w14:textFill>
            <w14:solidFill>
              <w14:schemeClr w14:val="tx1"/>
            </w14:solidFill>
          </w14:textFill>
        </w:rPr>
        <w:t>主导产业占比由2015年62.3%提高至2020年的80.</w:t>
      </w:r>
      <w:r>
        <w:rPr>
          <w:rFonts w:hint="eastAsia"/>
          <w:color w:val="000000" w:themeColor="text1"/>
          <w:sz w:val="32"/>
          <w:szCs w:val="32"/>
          <w14:textFill>
            <w14:solidFill>
              <w14:schemeClr w14:val="tx1"/>
            </w14:solidFill>
          </w14:textFill>
        </w:rPr>
        <w:t>7</w:t>
      </w:r>
      <w:r>
        <w:rPr>
          <w:color w:val="000000" w:themeColor="text1"/>
          <w:sz w:val="32"/>
          <w:szCs w:val="32"/>
          <w14:textFill>
            <w14:solidFill>
              <w14:schemeClr w14:val="tx1"/>
            </w14:solidFill>
          </w14:textFill>
        </w:rPr>
        <w:t>%，产业集中度进一步提高。</w:t>
      </w:r>
      <w:r>
        <w:rPr>
          <w:rFonts w:hint="eastAsia"/>
          <w:b/>
          <w:color w:val="000000" w:themeColor="text1"/>
          <w:sz w:val="32"/>
          <w:szCs w:val="32"/>
          <w14:textFill>
            <w14:solidFill>
              <w14:schemeClr w14:val="tx1"/>
            </w14:solidFill>
          </w14:textFill>
        </w:rPr>
        <w:t>四</w:t>
      </w:r>
      <w:r>
        <w:rPr>
          <w:b/>
          <w:color w:val="000000" w:themeColor="text1"/>
          <w:sz w:val="32"/>
          <w:szCs w:val="32"/>
          <w14:textFill>
            <w14:solidFill>
              <w14:schemeClr w14:val="tx1"/>
            </w14:solidFill>
          </w14:textFill>
        </w:rPr>
        <w:t>是先进制造业特色显现</w:t>
      </w:r>
      <w:r>
        <w:rPr>
          <w:color w:val="000000" w:themeColor="text1"/>
          <w:sz w:val="32"/>
          <w:szCs w:val="32"/>
          <w14:textFill>
            <w14:solidFill>
              <w14:schemeClr w14:val="tx1"/>
            </w14:solidFill>
          </w14:textFill>
        </w:rPr>
        <w:t>。在一批重大项目和优质企业的带动下，光伏新能源、高端纺织、膜材料、新一代</w:t>
      </w:r>
      <w:r>
        <w:rPr>
          <w:rFonts w:hint="eastAsia"/>
          <w:color w:val="000000" w:themeColor="text1"/>
          <w:sz w:val="32"/>
          <w:szCs w:val="32"/>
          <w14:textFill>
            <w14:solidFill>
              <w14:schemeClr w14:val="tx1"/>
            </w14:solidFill>
          </w14:textFill>
        </w:rPr>
        <w:t>信息技术</w:t>
      </w:r>
      <w:r>
        <w:rPr>
          <w:color w:val="000000" w:themeColor="text1"/>
          <w:sz w:val="32"/>
          <w:szCs w:val="32"/>
          <w14:textFill>
            <w14:solidFill>
              <w14:schemeClr w14:val="tx1"/>
            </w14:solidFill>
          </w14:textFill>
        </w:rPr>
        <w:t>等产业逐步成长为我市的特色优势产业，产业层次实现明显提升，有望在短期内打造成为国家级的重要生产基地。我市绿色食品、光伏、膜材料、高端纺织、汽车及零部件等产业</w:t>
      </w:r>
      <w:r>
        <w:rPr>
          <w:rFonts w:hint="eastAsia"/>
          <w:color w:val="000000" w:themeColor="text1"/>
          <w:sz w:val="32"/>
          <w:szCs w:val="32"/>
          <w14:textFill>
            <w14:solidFill>
              <w14:schemeClr w14:val="tx1"/>
            </w14:solidFill>
          </w14:textFill>
        </w:rPr>
        <w:t>的重点企业和重大项目</w:t>
      </w:r>
      <w:r>
        <w:rPr>
          <w:color w:val="000000" w:themeColor="text1"/>
          <w:sz w:val="32"/>
          <w:szCs w:val="32"/>
          <w14:textFill>
            <w14:solidFill>
              <w14:schemeClr w14:val="tx1"/>
            </w14:solidFill>
          </w14:textFill>
        </w:rPr>
        <w:t>纳入全省先进制造业</w:t>
      </w:r>
      <w:r>
        <w:rPr>
          <w:rFonts w:hint="eastAsia"/>
          <w:color w:val="000000" w:themeColor="text1"/>
          <w:sz w:val="32"/>
          <w:szCs w:val="32"/>
          <w14:textFill>
            <w14:solidFill>
              <w14:schemeClr w14:val="tx1"/>
            </w14:solidFill>
          </w14:textFill>
        </w:rPr>
        <w:t>集群</w:t>
      </w:r>
      <w:r>
        <w:rPr>
          <w:color w:val="000000" w:themeColor="text1"/>
          <w:sz w:val="32"/>
          <w:szCs w:val="32"/>
          <w14:textFill>
            <w14:solidFill>
              <w14:schemeClr w14:val="tx1"/>
            </w14:solidFill>
          </w14:textFill>
        </w:rPr>
        <w:t>培育体系。</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eastAsia="方正黑体_GBK"/>
          <w:b w:val="0"/>
          <w:color w:val="000000" w:themeColor="text1"/>
          <w14:textFill>
            <w14:solidFill>
              <w14:schemeClr w14:val="tx1"/>
            </w14:solidFill>
          </w14:textFill>
        </w:rPr>
        <w:t>三、企业实力明显提升</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十三五</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期间，全市工业企业实力稳步提升，工业经济核心主体作用不断增强。</w:t>
      </w:r>
      <w:r>
        <w:rPr>
          <w:b/>
          <w:color w:val="000000" w:themeColor="text1"/>
          <w:sz w:val="32"/>
          <w:szCs w:val="32"/>
          <w14:textFill>
            <w14:solidFill>
              <w14:schemeClr w14:val="tx1"/>
            </w14:solidFill>
          </w14:textFill>
        </w:rPr>
        <w:t>一是龙头企业进一步</w:t>
      </w:r>
      <w:r>
        <w:rPr>
          <w:rFonts w:hint="eastAsia"/>
          <w:b/>
          <w:color w:val="000000" w:themeColor="text1"/>
          <w:sz w:val="32"/>
          <w:szCs w:val="32"/>
          <w14:textFill>
            <w14:solidFill>
              <w14:schemeClr w14:val="tx1"/>
            </w14:solidFill>
          </w14:textFill>
        </w:rPr>
        <w:t>壮大</w:t>
      </w:r>
      <w:r>
        <w:rPr>
          <w:color w:val="000000" w:themeColor="text1"/>
          <w:sz w:val="32"/>
          <w:szCs w:val="32"/>
          <w14:textFill>
            <w14:solidFill>
              <w14:schemeClr w14:val="tx1"/>
            </w14:solidFill>
          </w14:textFill>
        </w:rPr>
        <w:t>。全市销售收入超百亿元企业由2015年的1户增加</w:t>
      </w:r>
      <w:r>
        <w:rPr>
          <w:rFonts w:hint="eastAsia"/>
          <w:color w:val="000000" w:themeColor="text1"/>
          <w:sz w:val="32"/>
          <w:szCs w:val="32"/>
          <w14:textFill>
            <w14:solidFill>
              <w14:schemeClr w14:val="tx1"/>
            </w14:solidFill>
          </w14:textFill>
        </w:rPr>
        <w:t>至</w:t>
      </w:r>
      <w:r>
        <w:rPr>
          <w:color w:val="000000" w:themeColor="text1"/>
          <w:sz w:val="32"/>
          <w:szCs w:val="32"/>
          <w14:textFill>
            <w14:solidFill>
              <w14:schemeClr w14:val="tx1"/>
            </w14:solidFill>
          </w14:textFill>
        </w:rPr>
        <w:t>4户，超50亿元企业由2015年的3户增加</w:t>
      </w:r>
      <w:r>
        <w:rPr>
          <w:rFonts w:hint="eastAsia"/>
          <w:color w:val="000000" w:themeColor="text1"/>
          <w:sz w:val="32"/>
          <w:szCs w:val="32"/>
          <w14:textFill>
            <w14:solidFill>
              <w14:schemeClr w14:val="tx1"/>
            </w14:solidFill>
          </w14:textFill>
        </w:rPr>
        <w:t>至6</w:t>
      </w:r>
      <w:r>
        <w:rPr>
          <w:color w:val="000000" w:themeColor="text1"/>
          <w:sz w:val="32"/>
          <w:szCs w:val="32"/>
          <w14:textFill>
            <w14:solidFill>
              <w14:schemeClr w14:val="tx1"/>
            </w14:solidFill>
          </w14:textFill>
        </w:rPr>
        <w:t>户，超10亿元企业由2015年的32户增加</w:t>
      </w:r>
      <w:r>
        <w:rPr>
          <w:rFonts w:hint="eastAsia"/>
          <w:color w:val="000000" w:themeColor="text1"/>
          <w:sz w:val="32"/>
          <w:szCs w:val="32"/>
          <w14:textFill>
            <w14:solidFill>
              <w14:schemeClr w14:val="tx1"/>
            </w14:solidFill>
          </w14:textFill>
        </w:rPr>
        <w:t>至49</w:t>
      </w:r>
      <w:r>
        <w:rPr>
          <w:color w:val="000000" w:themeColor="text1"/>
          <w:sz w:val="32"/>
          <w:szCs w:val="32"/>
          <w14:textFill>
            <w14:solidFill>
              <w14:schemeClr w14:val="tx1"/>
            </w14:solidFill>
          </w14:textFill>
        </w:rPr>
        <w:t>户；实现A股上市企业</w:t>
      </w:r>
      <w:r>
        <w:rPr>
          <w:rFonts w:hint="eastAsia"/>
          <w:color w:val="000000" w:themeColor="text1"/>
          <w:sz w:val="32"/>
          <w:szCs w:val="32"/>
          <w14:textFill>
            <w14:solidFill>
              <w14:schemeClr w14:val="tx1"/>
            </w14:solidFill>
          </w14:textFill>
        </w:rPr>
        <w:t>6</w:t>
      </w:r>
      <w:r>
        <w:rPr>
          <w:color w:val="000000" w:themeColor="text1"/>
          <w:sz w:val="32"/>
          <w:szCs w:val="32"/>
          <w14:textFill>
            <w14:solidFill>
              <w14:schemeClr w14:val="tx1"/>
            </w14:solidFill>
          </w14:textFill>
        </w:rPr>
        <w:t>户、净增</w:t>
      </w:r>
      <w:r>
        <w:rPr>
          <w:rFonts w:hint="eastAsia"/>
          <w:color w:val="000000" w:themeColor="text1"/>
          <w:sz w:val="32"/>
          <w:szCs w:val="32"/>
          <w14:textFill>
            <w14:solidFill>
              <w14:schemeClr w14:val="tx1"/>
            </w14:solidFill>
          </w14:textFill>
        </w:rPr>
        <w:t>3</w:t>
      </w:r>
      <w:r>
        <w:rPr>
          <w:color w:val="000000" w:themeColor="text1"/>
          <w:sz w:val="32"/>
          <w:szCs w:val="32"/>
          <w14:textFill>
            <w14:solidFill>
              <w14:schemeClr w14:val="tx1"/>
            </w14:solidFill>
          </w14:textFill>
        </w:rPr>
        <w:t>户，挂牌上市企业</w:t>
      </w:r>
      <w:r>
        <w:rPr>
          <w:rFonts w:hint="eastAsia"/>
          <w:color w:val="000000" w:themeColor="text1"/>
          <w:sz w:val="32"/>
          <w:szCs w:val="32"/>
          <w14:textFill>
            <w14:solidFill>
              <w14:schemeClr w14:val="tx1"/>
            </w14:solidFill>
          </w14:textFill>
        </w:rPr>
        <w:t>100</w:t>
      </w:r>
      <w:r>
        <w:rPr>
          <w:color w:val="000000" w:themeColor="text1"/>
          <w:sz w:val="32"/>
          <w:szCs w:val="32"/>
          <w14:textFill>
            <w14:solidFill>
              <w14:schemeClr w14:val="tx1"/>
            </w14:solidFill>
          </w14:textFill>
        </w:rPr>
        <w:t>户、净增</w:t>
      </w:r>
      <w:r>
        <w:rPr>
          <w:rFonts w:hint="eastAsia"/>
          <w:color w:val="000000" w:themeColor="text1"/>
          <w:sz w:val="32"/>
          <w:szCs w:val="32"/>
          <w14:textFill>
            <w14:solidFill>
              <w14:schemeClr w14:val="tx1"/>
            </w14:solidFill>
          </w14:textFill>
        </w:rPr>
        <w:t>88</w:t>
      </w:r>
      <w:r>
        <w:rPr>
          <w:color w:val="000000" w:themeColor="text1"/>
          <w:sz w:val="32"/>
          <w:szCs w:val="32"/>
          <w14:textFill>
            <w14:solidFill>
              <w14:schemeClr w14:val="tx1"/>
            </w14:solidFill>
          </w14:textFill>
        </w:rPr>
        <w:t>户。</w:t>
      </w:r>
      <w:r>
        <w:rPr>
          <w:b/>
          <w:color w:val="000000" w:themeColor="text1"/>
          <w:sz w:val="32"/>
          <w:szCs w:val="32"/>
          <w14:textFill>
            <w14:solidFill>
              <w14:schemeClr w14:val="tx1"/>
            </w14:solidFill>
          </w14:textFill>
        </w:rPr>
        <w:t>二是专精特新企业队伍持续扩容</w:t>
      </w:r>
      <w:r>
        <w:rPr>
          <w:color w:val="000000" w:themeColor="text1"/>
          <w:sz w:val="32"/>
          <w:szCs w:val="32"/>
          <w14:textFill>
            <w14:solidFill>
              <w14:schemeClr w14:val="tx1"/>
            </w14:solidFill>
          </w14:textFill>
        </w:rPr>
        <w:t>。</w:t>
      </w:r>
      <w:r>
        <w:rPr>
          <w:rFonts w:hint="eastAsia"/>
          <w:color w:val="000000" w:themeColor="text1"/>
          <w:sz w:val="32"/>
          <w:szCs w:val="32"/>
          <w14:textFill>
            <w14:solidFill>
              <w14:schemeClr w14:val="tx1"/>
            </w14:solidFill>
          </w14:textFill>
        </w:rPr>
        <w:t>全市拥有国家级专精特新小巨人企业4户；省级专精特新产品28个、科技小巨人企业26户；市级专精特新产品61个、科技小巨人企业133户，独角兽（潜在）企业1户、瞪羚企业17户</w:t>
      </w:r>
      <w:r>
        <w:rPr>
          <w:color w:val="000000" w:themeColor="text1"/>
          <w:sz w:val="32"/>
          <w:szCs w:val="32"/>
          <w14:textFill>
            <w14:solidFill>
              <w14:schemeClr w14:val="tx1"/>
            </w14:solidFill>
          </w14:textFill>
        </w:rPr>
        <w:t>。</w:t>
      </w:r>
      <w:r>
        <w:rPr>
          <w:rFonts w:hint="eastAsia"/>
          <w:b/>
          <w:color w:val="000000" w:themeColor="text1"/>
          <w:sz w:val="32"/>
          <w:szCs w:val="32"/>
          <w14:textFill>
            <w14:solidFill>
              <w14:schemeClr w14:val="tx1"/>
            </w14:solidFill>
          </w14:textFill>
        </w:rPr>
        <w:t>三是企业经济效益持续提高</w:t>
      </w:r>
      <w:r>
        <w:rPr>
          <w:rFonts w:hint="eastAsia"/>
          <w:color w:val="000000" w:themeColor="text1"/>
          <w:sz w:val="32"/>
          <w:szCs w:val="32"/>
          <w14:textFill>
            <w14:solidFill>
              <w14:schemeClr w14:val="tx1"/>
            </w14:solidFill>
          </w14:textFill>
        </w:rPr>
        <w:t>。2020年，全市规模以上工业利润275.4亿元，总额全省第8位，增长21.7%，全省最高；亏损企业亏损额16.29亿元，全省最低，下降35.5%，降幅全省最大。</w:t>
      </w:r>
    </w:p>
    <w:p>
      <w:pPr>
        <w:spacing w:line="580" w:lineRule="exact"/>
        <w:jc w:val="center"/>
        <w:rPr>
          <w:color w:val="000000" w:themeColor="text1"/>
          <w:sz w:val="28"/>
          <w:szCs w:val="30"/>
          <w14:textFill>
            <w14:solidFill>
              <w14:schemeClr w14:val="tx1"/>
            </w14:solidFill>
          </w14:textFill>
        </w:rPr>
      </w:pPr>
      <w:r>
        <w:rPr>
          <w:rFonts w:hint="eastAsia" w:eastAsia="方正黑体_GBK"/>
          <w:color w:val="000000" w:themeColor="text1"/>
          <w:sz w:val="28"/>
          <w:szCs w:val="30"/>
          <w14:textFill>
            <w14:solidFill>
              <w14:schemeClr w14:val="tx1"/>
            </w14:solidFill>
          </w14:textFill>
        </w:rPr>
        <w:t>“十三五”以来</w:t>
      </w:r>
      <w:r>
        <w:rPr>
          <w:rFonts w:eastAsia="方正黑体_GBK"/>
          <w:color w:val="000000" w:themeColor="text1"/>
          <w:sz w:val="28"/>
          <w:szCs w:val="30"/>
          <w14:textFill>
            <w14:solidFill>
              <w14:schemeClr w14:val="tx1"/>
            </w14:solidFill>
          </w14:textFill>
        </w:rPr>
        <w:t>企业实力主要指标</w:t>
      </w:r>
      <w:r>
        <w:rPr>
          <w:rFonts w:hint="eastAsia" w:eastAsia="方正黑体_GBK"/>
          <w:color w:val="000000" w:themeColor="text1"/>
          <w:sz w:val="28"/>
          <w:szCs w:val="30"/>
          <w14:textFill>
            <w14:solidFill>
              <w14:schemeClr w14:val="tx1"/>
            </w14:solidFill>
          </w14:textFill>
        </w:rPr>
        <w:t>变化（表二）</w:t>
      </w:r>
    </w:p>
    <w:tbl>
      <w:tblPr>
        <w:tblStyle w:val="25"/>
        <w:tblW w:w="7877" w:type="dxa"/>
        <w:jc w:val="center"/>
        <w:tblLayout w:type="fixed"/>
        <w:tblCellMar>
          <w:top w:w="0" w:type="dxa"/>
          <w:left w:w="0" w:type="dxa"/>
          <w:bottom w:w="0" w:type="dxa"/>
          <w:right w:w="0" w:type="dxa"/>
        </w:tblCellMar>
      </w:tblPr>
      <w:tblGrid>
        <w:gridCol w:w="2261"/>
        <w:gridCol w:w="2775"/>
        <w:gridCol w:w="2841"/>
      </w:tblGrid>
      <w:tr>
        <w:tblPrEx>
          <w:tblCellMar>
            <w:top w:w="0" w:type="dxa"/>
            <w:left w:w="0" w:type="dxa"/>
            <w:bottom w:w="0" w:type="dxa"/>
            <w:right w:w="0" w:type="dxa"/>
          </w:tblCellMar>
        </w:tblPrEx>
        <w:trPr>
          <w:trHeight w:val="510" w:hRule="atLeast"/>
          <w:jc w:val="center"/>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黑体_GBK"/>
                <w:color w:val="000000" w:themeColor="text1"/>
                <w:szCs w:val="21"/>
                <w14:textFill>
                  <w14:solidFill>
                    <w14:schemeClr w14:val="tx1"/>
                  </w14:solidFill>
                </w14:textFill>
              </w:rPr>
            </w:pPr>
            <w:r>
              <w:rPr>
                <w:rFonts w:eastAsia="方正黑体_GBK"/>
                <w:color w:val="000000" w:themeColor="text1"/>
                <w:kern w:val="0"/>
                <w:szCs w:val="21"/>
                <w:lang w:bidi="ar"/>
                <w14:textFill>
                  <w14:solidFill>
                    <w14:schemeClr w14:val="tx1"/>
                  </w14:solidFill>
                </w14:textFill>
              </w:rPr>
              <w:t>指  标</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黑体_GBK"/>
                <w:color w:val="000000" w:themeColor="text1"/>
                <w:szCs w:val="21"/>
                <w14:textFill>
                  <w14:solidFill>
                    <w14:schemeClr w14:val="tx1"/>
                  </w14:solidFill>
                </w14:textFill>
              </w:rPr>
            </w:pPr>
            <w:r>
              <w:rPr>
                <w:rFonts w:eastAsia="方正黑体_GBK"/>
                <w:color w:val="000000" w:themeColor="text1"/>
                <w:kern w:val="0"/>
                <w:szCs w:val="21"/>
                <w:lang w:bidi="ar"/>
                <w14:textFill>
                  <w14:solidFill>
                    <w14:schemeClr w14:val="tx1"/>
                  </w14:solidFill>
                </w14:textFill>
              </w:rPr>
              <w:t>2015年</w:t>
            </w:r>
          </w:p>
        </w:tc>
        <w:tc>
          <w:tcPr>
            <w:tcW w:w="2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color w:val="000000" w:themeColor="text1"/>
                <w:sz w:val="32"/>
                <w14:textFill>
                  <w14:solidFill>
                    <w14:schemeClr w14:val="tx1"/>
                  </w14:solidFill>
                </w14:textFill>
              </w:rPr>
            </w:pPr>
            <w:r>
              <w:rPr>
                <w:rFonts w:eastAsia="方正黑体_GBK"/>
                <w:color w:val="000000" w:themeColor="text1"/>
                <w:kern w:val="0"/>
                <w:szCs w:val="21"/>
                <w:lang w:bidi="ar"/>
                <w14:textFill>
                  <w14:solidFill>
                    <w14:schemeClr w14:val="tx1"/>
                  </w14:solidFill>
                </w14:textFill>
              </w:rPr>
              <w:t>2020年</w:t>
            </w:r>
          </w:p>
        </w:tc>
      </w:tr>
      <w:tr>
        <w:tblPrEx>
          <w:tblCellMar>
            <w:top w:w="0" w:type="dxa"/>
            <w:left w:w="0" w:type="dxa"/>
            <w:bottom w:w="0" w:type="dxa"/>
            <w:right w:w="0" w:type="dxa"/>
          </w:tblCellMar>
        </w:tblPrEx>
        <w:trPr>
          <w:trHeight w:val="510" w:hRule="atLeast"/>
          <w:jc w:val="center"/>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kern w:val="0"/>
                <w:szCs w:val="21"/>
                <w:lang w:bidi="ar"/>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规模企业数</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kern w:val="0"/>
                <w:szCs w:val="21"/>
                <w:lang w:bidi="ar"/>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2550户</w:t>
            </w:r>
          </w:p>
        </w:tc>
        <w:tc>
          <w:tcPr>
            <w:tcW w:w="2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szCs w:val="21"/>
                <w14:textFill>
                  <w14:solidFill>
                    <w14:schemeClr w14:val="tx1"/>
                  </w14:solidFill>
                </w14:textFill>
              </w:rPr>
              <w:t>1746户</w:t>
            </w:r>
          </w:p>
        </w:tc>
      </w:tr>
      <w:tr>
        <w:tblPrEx>
          <w:tblCellMar>
            <w:top w:w="0" w:type="dxa"/>
            <w:left w:w="0" w:type="dxa"/>
            <w:bottom w:w="0" w:type="dxa"/>
            <w:right w:w="0" w:type="dxa"/>
          </w:tblCellMar>
        </w:tblPrEx>
        <w:trPr>
          <w:trHeight w:val="510" w:hRule="atLeast"/>
          <w:jc w:val="center"/>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销售超百亿企业</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1户</w:t>
            </w:r>
          </w:p>
        </w:tc>
        <w:tc>
          <w:tcPr>
            <w:tcW w:w="2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szCs w:val="21"/>
                <w14:textFill>
                  <w14:solidFill>
                    <w14:schemeClr w14:val="tx1"/>
                  </w14:solidFill>
                </w14:textFill>
              </w:rPr>
              <w:t>4户</w:t>
            </w:r>
          </w:p>
        </w:tc>
      </w:tr>
      <w:tr>
        <w:tblPrEx>
          <w:tblCellMar>
            <w:top w:w="0" w:type="dxa"/>
            <w:left w:w="0" w:type="dxa"/>
            <w:bottom w:w="0" w:type="dxa"/>
            <w:right w:w="0" w:type="dxa"/>
          </w:tblCellMar>
        </w:tblPrEx>
        <w:trPr>
          <w:trHeight w:val="510" w:hRule="atLeast"/>
          <w:jc w:val="center"/>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销售超50亿元企业</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3户</w:t>
            </w:r>
          </w:p>
        </w:tc>
        <w:tc>
          <w:tcPr>
            <w:tcW w:w="2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szCs w:val="21"/>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6</w:t>
            </w:r>
            <w:r>
              <w:rPr>
                <w:rFonts w:eastAsia="方正楷体_GBK"/>
                <w:color w:val="000000" w:themeColor="text1"/>
                <w:kern w:val="0"/>
                <w:szCs w:val="21"/>
                <w:lang w:bidi="ar"/>
                <w14:textFill>
                  <w14:solidFill>
                    <w14:schemeClr w14:val="tx1"/>
                  </w14:solidFill>
                </w14:textFill>
              </w:rPr>
              <w:t>户</w:t>
            </w:r>
          </w:p>
        </w:tc>
      </w:tr>
      <w:tr>
        <w:tblPrEx>
          <w:tblCellMar>
            <w:top w:w="0" w:type="dxa"/>
            <w:left w:w="0" w:type="dxa"/>
            <w:bottom w:w="0" w:type="dxa"/>
            <w:right w:w="0" w:type="dxa"/>
          </w:tblCellMar>
        </w:tblPrEx>
        <w:trPr>
          <w:trHeight w:val="510" w:hRule="atLeast"/>
          <w:jc w:val="center"/>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销售超10亿元企业</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32户</w:t>
            </w:r>
          </w:p>
        </w:tc>
        <w:tc>
          <w:tcPr>
            <w:tcW w:w="2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szCs w:val="21"/>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49</w:t>
            </w:r>
            <w:r>
              <w:rPr>
                <w:rFonts w:eastAsia="方正楷体_GBK"/>
                <w:color w:val="000000" w:themeColor="text1"/>
                <w:kern w:val="0"/>
                <w:szCs w:val="21"/>
                <w:lang w:bidi="ar"/>
                <w14:textFill>
                  <w14:solidFill>
                    <w14:schemeClr w14:val="tx1"/>
                  </w14:solidFill>
                </w14:textFill>
              </w:rPr>
              <w:t>户</w:t>
            </w:r>
          </w:p>
        </w:tc>
      </w:tr>
      <w:tr>
        <w:tblPrEx>
          <w:tblCellMar>
            <w:top w:w="0" w:type="dxa"/>
            <w:left w:w="0" w:type="dxa"/>
            <w:bottom w:w="0" w:type="dxa"/>
            <w:right w:w="0" w:type="dxa"/>
          </w:tblCellMar>
        </w:tblPrEx>
        <w:trPr>
          <w:trHeight w:val="510" w:hRule="atLeast"/>
          <w:jc w:val="center"/>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kern w:val="0"/>
                <w:szCs w:val="21"/>
                <w:lang w:bidi="ar"/>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销售超亿元企业</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kern w:val="0"/>
                <w:szCs w:val="21"/>
                <w:lang w:bidi="ar"/>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750户</w:t>
            </w:r>
          </w:p>
        </w:tc>
        <w:tc>
          <w:tcPr>
            <w:tcW w:w="2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kern w:val="0"/>
                <w:szCs w:val="21"/>
                <w:lang w:bidi="ar"/>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454</w:t>
            </w:r>
            <w:r>
              <w:rPr>
                <w:rFonts w:eastAsia="方正楷体_GBK"/>
                <w:color w:val="000000" w:themeColor="text1"/>
                <w:kern w:val="0"/>
                <w:szCs w:val="21"/>
                <w:lang w:bidi="ar"/>
                <w14:textFill>
                  <w14:solidFill>
                    <w14:schemeClr w14:val="tx1"/>
                  </w14:solidFill>
                </w14:textFill>
              </w:rPr>
              <w:t>户</w:t>
            </w:r>
          </w:p>
        </w:tc>
      </w:tr>
      <w:tr>
        <w:tblPrEx>
          <w:tblCellMar>
            <w:top w:w="0" w:type="dxa"/>
            <w:left w:w="0" w:type="dxa"/>
            <w:bottom w:w="0" w:type="dxa"/>
            <w:right w:w="0" w:type="dxa"/>
          </w:tblCellMar>
        </w:tblPrEx>
        <w:trPr>
          <w:trHeight w:val="510" w:hRule="atLeast"/>
          <w:jc w:val="center"/>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A股上市企业</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szCs w:val="21"/>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3</w:t>
            </w:r>
            <w:r>
              <w:rPr>
                <w:rFonts w:eastAsia="方正楷体_GBK"/>
                <w:color w:val="000000" w:themeColor="text1"/>
                <w:kern w:val="0"/>
                <w:szCs w:val="21"/>
                <w:lang w:bidi="ar"/>
                <w14:textFill>
                  <w14:solidFill>
                    <w14:schemeClr w14:val="tx1"/>
                  </w14:solidFill>
                </w14:textFill>
              </w:rPr>
              <w:t>户</w:t>
            </w:r>
          </w:p>
        </w:tc>
        <w:tc>
          <w:tcPr>
            <w:tcW w:w="2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szCs w:val="21"/>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6</w:t>
            </w:r>
            <w:r>
              <w:rPr>
                <w:rFonts w:eastAsia="方正楷体_GBK"/>
                <w:color w:val="000000" w:themeColor="text1"/>
                <w:kern w:val="0"/>
                <w:szCs w:val="21"/>
                <w:lang w:bidi="ar"/>
                <w14:textFill>
                  <w14:solidFill>
                    <w14:schemeClr w14:val="tx1"/>
                  </w14:solidFill>
                </w14:textFill>
              </w:rPr>
              <w:t>户</w:t>
            </w:r>
          </w:p>
        </w:tc>
      </w:tr>
      <w:tr>
        <w:tblPrEx>
          <w:tblCellMar>
            <w:top w:w="0" w:type="dxa"/>
            <w:left w:w="0" w:type="dxa"/>
            <w:bottom w:w="0" w:type="dxa"/>
            <w:right w:w="0" w:type="dxa"/>
          </w:tblCellMar>
        </w:tblPrEx>
        <w:trPr>
          <w:trHeight w:val="510" w:hRule="atLeast"/>
          <w:jc w:val="center"/>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挂牌上市企业</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szCs w:val="21"/>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12</w:t>
            </w:r>
            <w:r>
              <w:rPr>
                <w:rFonts w:eastAsia="方正楷体_GBK"/>
                <w:color w:val="000000" w:themeColor="text1"/>
                <w:kern w:val="0"/>
                <w:szCs w:val="21"/>
                <w:lang w:bidi="ar"/>
                <w14:textFill>
                  <w14:solidFill>
                    <w14:schemeClr w14:val="tx1"/>
                  </w14:solidFill>
                </w14:textFill>
              </w:rPr>
              <w:t>户</w:t>
            </w:r>
          </w:p>
        </w:tc>
        <w:tc>
          <w:tcPr>
            <w:tcW w:w="2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szCs w:val="21"/>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100</w:t>
            </w:r>
            <w:r>
              <w:rPr>
                <w:rFonts w:eastAsia="方正楷体_GBK"/>
                <w:color w:val="000000" w:themeColor="text1"/>
                <w:kern w:val="0"/>
                <w:szCs w:val="21"/>
                <w:lang w:bidi="ar"/>
                <w14:textFill>
                  <w14:solidFill>
                    <w14:schemeClr w14:val="tx1"/>
                  </w14:solidFill>
                </w14:textFill>
              </w:rPr>
              <w:t>户</w:t>
            </w:r>
          </w:p>
        </w:tc>
      </w:tr>
      <w:tr>
        <w:tblPrEx>
          <w:tblCellMar>
            <w:top w:w="0" w:type="dxa"/>
            <w:left w:w="0" w:type="dxa"/>
            <w:bottom w:w="0" w:type="dxa"/>
            <w:right w:w="0" w:type="dxa"/>
          </w:tblCellMar>
        </w:tblPrEx>
        <w:trPr>
          <w:trHeight w:val="510" w:hRule="atLeast"/>
          <w:jc w:val="center"/>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市级以上科技小巨人</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46户</w:t>
            </w:r>
          </w:p>
        </w:tc>
        <w:tc>
          <w:tcPr>
            <w:tcW w:w="2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szCs w:val="21"/>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133</w:t>
            </w:r>
            <w:r>
              <w:rPr>
                <w:rFonts w:eastAsia="方正楷体_GBK"/>
                <w:color w:val="000000" w:themeColor="text1"/>
                <w:kern w:val="0"/>
                <w:szCs w:val="21"/>
                <w:lang w:bidi="ar"/>
                <w14:textFill>
                  <w14:solidFill>
                    <w14:schemeClr w14:val="tx1"/>
                  </w14:solidFill>
                </w14:textFill>
              </w:rPr>
              <w:t>户</w:t>
            </w:r>
          </w:p>
        </w:tc>
      </w:tr>
      <w:tr>
        <w:tblPrEx>
          <w:tblCellMar>
            <w:top w:w="0" w:type="dxa"/>
            <w:left w:w="0" w:type="dxa"/>
            <w:bottom w:w="0" w:type="dxa"/>
            <w:right w:w="0" w:type="dxa"/>
          </w:tblCellMar>
        </w:tblPrEx>
        <w:trPr>
          <w:trHeight w:val="510" w:hRule="atLeast"/>
          <w:jc w:val="center"/>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szCs w:val="21"/>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市级以上</w:t>
            </w:r>
            <w:r>
              <w:rPr>
                <w:rFonts w:eastAsia="方正楷体_GBK"/>
                <w:color w:val="000000" w:themeColor="text1"/>
                <w:kern w:val="0"/>
                <w:szCs w:val="21"/>
                <w:lang w:bidi="ar"/>
                <w14:textFill>
                  <w14:solidFill>
                    <w14:schemeClr w14:val="tx1"/>
                  </w14:solidFill>
                </w14:textFill>
              </w:rPr>
              <w:t>专精特新产品</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szCs w:val="21"/>
                <w14:textFill>
                  <w14:solidFill>
                    <w14:schemeClr w14:val="tx1"/>
                  </w14:solidFill>
                </w14:textFill>
              </w:rPr>
              <w:t>0</w:t>
            </w:r>
          </w:p>
        </w:tc>
        <w:tc>
          <w:tcPr>
            <w:tcW w:w="2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szCs w:val="21"/>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61个</w:t>
            </w:r>
          </w:p>
        </w:tc>
      </w:tr>
      <w:tr>
        <w:tblPrEx>
          <w:tblCellMar>
            <w:top w:w="0" w:type="dxa"/>
            <w:left w:w="0" w:type="dxa"/>
            <w:bottom w:w="0" w:type="dxa"/>
            <w:right w:w="0" w:type="dxa"/>
          </w:tblCellMar>
        </w:tblPrEx>
        <w:trPr>
          <w:trHeight w:val="510" w:hRule="atLeast"/>
          <w:jc w:val="center"/>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kern w:val="0"/>
                <w:szCs w:val="21"/>
                <w:lang w:bidi="ar"/>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独角兽企业（潜在）</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kern w:val="0"/>
                <w:szCs w:val="21"/>
                <w:lang w:bidi="ar"/>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0</w:t>
            </w:r>
          </w:p>
        </w:tc>
        <w:tc>
          <w:tcPr>
            <w:tcW w:w="2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kern w:val="0"/>
                <w:szCs w:val="21"/>
                <w:lang w:bidi="ar"/>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1</w:t>
            </w:r>
            <w:r>
              <w:rPr>
                <w:rFonts w:eastAsia="方正楷体_GBK"/>
                <w:color w:val="000000" w:themeColor="text1"/>
                <w:kern w:val="0"/>
                <w:szCs w:val="21"/>
                <w:lang w:bidi="ar"/>
                <w14:textFill>
                  <w14:solidFill>
                    <w14:schemeClr w14:val="tx1"/>
                  </w14:solidFill>
                </w14:textFill>
              </w:rPr>
              <w:t>户</w:t>
            </w:r>
          </w:p>
        </w:tc>
      </w:tr>
      <w:tr>
        <w:tblPrEx>
          <w:tblCellMar>
            <w:top w:w="0" w:type="dxa"/>
            <w:left w:w="0" w:type="dxa"/>
            <w:bottom w:w="0" w:type="dxa"/>
            <w:right w:w="0" w:type="dxa"/>
          </w:tblCellMar>
        </w:tblPrEx>
        <w:trPr>
          <w:trHeight w:val="510" w:hRule="atLeast"/>
          <w:jc w:val="center"/>
        </w:trPr>
        <w:tc>
          <w:tcPr>
            <w:tcW w:w="2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kern w:val="0"/>
                <w:szCs w:val="21"/>
                <w:lang w:bidi="ar"/>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瞪羚企业</w:t>
            </w:r>
          </w:p>
        </w:tc>
        <w:tc>
          <w:tcPr>
            <w:tcW w:w="27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kern w:val="0"/>
                <w:szCs w:val="21"/>
                <w:lang w:bidi="ar"/>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0</w:t>
            </w:r>
          </w:p>
        </w:tc>
        <w:tc>
          <w:tcPr>
            <w:tcW w:w="28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440" w:lineRule="exact"/>
              <w:jc w:val="center"/>
              <w:textAlignment w:val="center"/>
              <w:rPr>
                <w:rFonts w:eastAsia="方正楷体_GBK"/>
                <w:color w:val="000000" w:themeColor="text1"/>
                <w:kern w:val="0"/>
                <w:szCs w:val="21"/>
                <w:lang w:bidi="ar"/>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17户</w:t>
            </w:r>
          </w:p>
        </w:tc>
      </w:tr>
    </w:tbl>
    <w:p>
      <w:pPr>
        <w:pStyle w:val="8"/>
        <w:spacing w:before="156" w:beforeLines="50" w:after="0" w:line="580" w:lineRule="exact"/>
        <w:ind w:firstLine="640" w:firstLineChars="200"/>
        <w:rPr>
          <w:rFonts w:eastAsia="方正黑体_GBK"/>
          <w:b w:val="0"/>
          <w:color w:val="000000" w:themeColor="text1"/>
          <w14:textFill>
            <w14:solidFill>
              <w14:schemeClr w14:val="tx1"/>
            </w14:solidFill>
          </w14:textFill>
        </w:rPr>
      </w:pPr>
      <w:r>
        <w:rPr>
          <w:rFonts w:eastAsia="方正黑体_GBK"/>
          <w:b w:val="0"/>
          <w:color w:val="000000" w:themeColor="text1"/>
          <w14:textFill>
            <w14:solidFill>
              <w14:schemeClr w14:val="tx1"/>
            </w14:solidFill>
          </w14:textFill>
        </w:rPr>
        <w:t>四、创新能力逐步提高</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十三五</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期间，全市产业创新能力稳步提高，创新平台影响力持续提升。</w:t>
      </w:r>
      <w:r>
        <w:rPr>
          <w:b/>
          <w:color w:val="000000" w:themeColor="text1"/>
          <w:sz w:val="32"/>
          <w:szCs w:val="32"/>
          <w14:textFill>
            <w14:solidFill>
              <w14:schemeClr w14:val="tx1"/>
            </w14:solidFill>
          </w14:textFill>
        </w:rPr>
        <w:t>一是创新投入产出</w:t>
      </w:r>
      <w:r>
        <w:rPr>
          <w:rFonts w:hint="eastAsia"/>
          <w:b/>
          <w:color w:val="000000" w:themeColor="text1"/>
          <w:sz w:val="32"/>
          <w:szCs w:val="32"/>
          <w14:textFill>
            <w14:solidFill>
              <w14:schemeClr w14:val="tx1"/>
            </w14:solidFill>
          </w14:textFill>
        </w:rPr>
        <w:t>实现“</w:t>
      </w:r>
      <w:r>
        <w:rPr>
          <w:b/>
          <w:color w:val="000000" w:themeColor="text1"/>
          <w:sz w:val="32"/>
          <w:szCs w:val="32"/>
          <w14:textFill>
            <w14:solidFill>
              <w14:schemeClr w14:val="tx1"/>
            </w14:solidFill>
          </w14:textFill>
        </w:rPr>
        <w:t>双丰收</w:t>
      </w:r>
      <w:r>
        <w:rPr>
          <w:rFonts w:hint="eastAsia"/>
          <w:b/>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。2020年，全市研发经费支出占GDP比重1.9</w:t>
      </w:r>
      <w:r>
        <w:rPr>
          <w:rFonts w:hint="eastAsia"/>
          <w:color w:val="000000" w:themeColor="text1"/>
          <w:sz w:val="32"/>
          <w:szCs w:val="32"/>
          <w14:textFill>
            <w14:solidFill>
              <w14:schemeClr w14:val="tx1"/>
            </w14:solidFill>
          </w14:textFill>
        </w:rPr>
        <w:t>5</w:t>
      </w:r>
      <w:r>
        <w:rPr>
          <w:color w:val="000000" w:themeColor="text1"/>
          <w:sz w:val="32"/>
          <w:szCs w:val="32"/>
          <w14:textFill>
            <w14:solidFill>
              <w14:schemeClr w14:val="tx1"/>
            </w14:solidFill>
          </w14:textFill>
        </w:rPr>
        <w:t>%，较</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十三五</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末提高了0.4个百分点；</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十三五</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以来，全市累计开发新产品新技术</w:t>
      </w:r>
      <w:r>
        <w:rPr>
          <w:rFonts w:hint="eastAsia"/>
          <w:color w:val="000000" w:themeColor="text1"/>
          <w:sz w:val="32"/>
          <w:szCs w:val="32"/>
          <w14:textFill>
            <w14:solidFill>
              <w14:schemeClr w14:val="tx1"/>
            </w14:solidFill>
          </w14:textFill>
        </w:rPr>
        <w:t>1436</w:t>
      </w:r>
      <w:r>
        <w:rPr>
          <w:color w:val="000000" w:themeColor="text1"/>
          <w:sz w:val="32"/>
          <w:szCs w:val="32"/>
          <w14:textFill>
            <w14:solidFill>
              <w14:schemeClr w14:val="tx1"/>
            </w14:solidFill>
          </w14:textFill>
        </w:rPr>
        <w:t>个，其中省级以上</w:t>
      </w:r>
      <w:r>
        <w:rPr>
          <w:rFonts w:hint="eastAsia"/>
          <w:color w:val="000000" w:themeColor="text1"/>
          <w:sz w:val="32"/>
          <w:szCs w:val="32"/>
          <w14:textFill>
            <w14:solidFill>
              <w14:schemeClr w14:val="tx1"/>
            </w14:solidFill>
          </w14:textFill>
        </w:rPr>
        <w:t>1219</w:t>
      </w:r>
      <w:r>
        <w:rPr>
          <w:color w:val="000000" w:themeColor="text1"/>
          <w:sz w:val="32"/>
          <w:szCs w:val="32"/>
          <w14:textFill>
            <w14:solidFill>
              <w14:schemeClr w14:val="tx1"/>
            </w14:solidFill>
          </w14:textFill>
        </w:rPr>
        <w:t>个，</w:t>
      </w:r>
      <w:r>
        <w:rPr>
          <w:rFonts w:hint="eastAsia"/>
          <w:color w:val="000000" w:themeColor="text1"/>
          <w:sz w:val="32"/>
          <w:szCs w:val="32"/>
          <w14:textFill>
            <w14:solidFill>
              <w14:schemeClr w14:val="tx1"/>
            </w14:solidFill>
          </w14:textFill>
        </w:rPr>
        <w:t>有112个</w:t>
      </w:r>
      <w:r>
        <w:rPr>
          <w:color w:val="000000" w:themeColor="text1"/>
          <w:sz w:val="32"/>
          <w:szCs w:val="32"/>
          <w14:textFill>
            <w14:solidFill>
              <w14:schemeClr w14:val="tx1"/>
            </w14:solidFill>
          </w14:textFill>
        </w:rPr>
        <w:t>列入省新产品新技术推广应用目录；全市累计授权专利39616件，有效发明专利量达2200件，同比增长40.4%，增幅居全省第二位。</w:t>
      </w:r>
      <w:r>
        <w:rPr>
          <w:b/>
          <w:color w:val="000000" w:themeColor="text1"/>
          <w:sz w:val="32"/>
          <w:szCs w:val="32"/>
          <w14:textFill>
            <w14:solidFill>
              <w14:schemeClr w14:val="tx1"/>
            </w14:solidFill>
          </w14:textFill>
        </w:rPr>
        <w:t>二是新型创新力量持续壮大</w:t>
      </w:r>
      <w:r>
        <w:rPr>
          <w:color w:val="000000" w:themeColor="text1"/>
          <w:sz w:val="32"/>
          <w:szCs w:val="32"/>
          <w14:textFill>
            <w14:solidFill>
              <w14:schemeClr w14:val="tx1"/>
            </w14:solidFill>
          </w14:textFill>
        </w:rPr>
        <w:t>。2020年，全市国家高新技术企业累计达</w:t>
      </w:r>
      <w:r>
        <w:rPr>
          <w:rFonts w:hint="eastAsia"/>
          <w:color w:val="000000" w:themeColor="text1"/>
          <w:sz w:val="32"/>
          <w:szCs w:val="32"/>
          <w14:textFill>
            <w14:solidFill>
              <w14:schemeClr w14:val="tx1"/>
            </w14:solidFill>
          </w14:textFill>
        </w:rPr>
        <w:t>472</w:t>
      </w:r>
      <w:r>
        <w:rPr>
          <w:color w:val="000000" w:themeColor="text1"/>
          <w:sz w:val="32"/>
          <w:szCs w:val="32"/>
          <w14:textFill>
            <w14:solidFill>
              <w14:schemeClr w14:val="tx1"/>
            </w14:solidFill>
          </w14:textFill>
        </w:rPr>
        <w:t>家，较</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十三五</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末年均增加</w:t>
      </w:r>
      <w:r>
        <w:rPr>
          <w:rFonts w:hint="eastAsia"/>
          <w:color w:val="000000" w:themeColor="text1"/>
          <w:sz w:val="32"/>
          <w:szCs w:val="32"/>
          <w14:textFill>
            <w14:solidFill>
              <w14:schemeClr w14:val="tx1"/>
            </w14:solidFill>
          </w14:textFill>
        </w:rPr>
        <w:t>174</w:t>
      </w:r>
      <w:r>
        <w:rPr>
          <w:color w:val="000000" w:themeColor="text1"/>
          <w:sz w:val="32"/>
          <w:szCs w:val="32"/>
          <w14:textFill>
            <w14:solidFill>
              <w14:schemeClr w14:val="tx1"/>
            </w14:solidFill>
          </w14:textFill>
        </w:rPr>
        <w:t>户。高新技术产业产值占规模工业产值比重达到</w:t>
      </w:r>
      <w:r>
        <w:rPr>
          <w:rFonts w:hint="eastAsia"/>
          <w:color w:val="000000" w:themeColor="text1"/>
          <w:sz w:val="32"/>
          <w:szCs w:val="32"/>
          <w14:textFill>
            <w14:solidFill>
              <w14:schemeClr w14:val="tx1"/>
            </w14:solidFill>
          </w14:textFill>
        </w:rPr>
        <w:t>31.6</w:t>
      </w:r>
      <w:r>
        <w:rPr>
          <w:color w:val="000000" w:themeColor="text1"/>
          <w:sz w:val="32"/>
          <w:szCs w:val="32"/>
          <w14:textFill>
            <w14:solidFill>
              <w14:schemeClr w14:val="tx1"/>
            </w14:solidFill>
          </w14:textFill>
        </w:rPr>
        <w:t>%，年均提高</w:t>
      </w:r>
      <w:r>
        <w:rPr>
          <w:rFonts w:hint="eastAsia"/>
          <w:color w:val="000000" w:themeColor="text1"/>
          <w:sz w:val="32"/>
          <w:szCs w:val="32"/>
          <w14:textFill>
            <w14:solidFill>
              <w14:schemeClr w14:val="tx1"/>
            </w14:solidFill>
          </w14:textFill>
        </w:rPr>
        <w:t>2.6</w:t>
      </w:r>
      <w:r>
        <w:rPr>
          <w:color w:val="000000" w:themeColor="text1"/>
          <w:sz w:val="32"/>
          <w:szCs w:val="32"/>
          <w14:textFill>
            <w14:solidFill>
              <w14:schemeClr w14:val="tx1"/>
            </w14:solidFill>
          </w14:textFill>
        </w:rPr>
        <w:t>个百分点。</w:t>
      </w:r>
      <w:r>
        <w:rPr>
          <w:b/>
          <w:color w:val="000000" w:themeColor="text1"/>
          <w:sz w:val="32"/>
          <w:szCs w:val="32"/>
          <w14:textFill>
            <w14:solidFill>
              <w14:schemeClr w14:val="tx1"/>
            </w14:solidFill>
          </w14:textFill>
        </w:rPr>
        <w:t>三是创新平台载体优势凸显</w:t>
      </w:r>
      <w:r>
        <w:rPr>
          <w:color w:val="000000" w:themeColor="text1"/>
          <w:sz w:val="32"/>
          <w:szCs w:val="32"/>
          <w14:textFill>
            <w14:solidFill>
              <w14:schemeClr w14:val="tx1"/>
            </w14:solidFill>
          </w14:textFill>
        </w:rPr>
        <w:t>。全市建成省级以上技术中心等创新载体212个，其中国家级2个（天能、斯迪克）。江苏阿尔法药业有限公司获批省级企业重点实验室，实现</w:t>
      </w:r>
      <w:r>
        <w:rPr>
          <w:rFonts w:hint="eastAsia"/>
          <w:color w:val="000000" w:themeColor="text1"/>
          <w:sz w:val="32"/>
          <w:szCs w:val="32"/>
          <w14:textFill>
            <w14:solidFill>
              <w14:schemeClr w14:val="tx1"/>
            </w14:solidFill>
          </w14:textFill>
        </w:rPr>
        <w:t>了“</w:t>
      </w:r>
      <w:r>
        <w:rPr>
          <w:color w:val="000000" w:themeColor="text1"/>
          <w:sz w:val="32"/>
          <w:szCs w:val="32"/>
          <w14:textFill>
            <w14:solidFill>
              <w14:schemeClr w14:val="tx1"/>
            </w14:solidFill>
          </w14:textFill>
        </w:rPr>
        <w:t>零突破</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eastAsia="方正黑体_GBK"/>
          <w:b w:val="0"/>
          <w:color w:val="000000" w:themeColor="text1"/>
          <w14:textFill>
            <w14:solidFill>
              <w14:schemeClr w14:val="tx1"/>
            </w14:solidFill>
          </w14:textFill>
        </w:rPr>
        <w:t>五、项目建设成效显著</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十三五</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期间，全市落地重大项目创新高，技改投资稳步提高。</w:t>
      </w:r>
      <w:r>
        <w:rPr>
          <w:b/>
          <w:bCs/>
          <w:color w:val="000000" w:themeColor="text1"/>
          <w:sz w:val="32"/>
          <w:szCs w:val="32"/>
          <w14:textFill>
            <w14:solidFill>
              <w14:schemeClr w14:val="tx1"/>
            </w14:solidFill>
          </w14:textFill>
        </w:rPr>
        <w:t>一是重大项目数量质量并进。</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十三五</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以来，全市累计新签约亿元以上工业项目1485个，协议总投资7936.85亿元，其中投资超百亿元项目10个，计划总投资15</w:t>
      </w:r>
      <w:r>
        <w:rPr>
          <w:rFonts w:hint="eastAsia"/>
          <w:color w:val="000000" w:themeColor="text1"/>
          <w:sz w:val="32"/>
          <w:szCs w:val="32"/>
          <w14:textFill>
            <w14:solidFill>
              <w14:schemeClr w14:val="tx1"/>
            </w14:solidFill>
          </w14:textFill>
        </w:rPr>
        <w:t>3</w:t>
      </w:r>
      <w:r>
        <w:rPr>
          <w:color w:val="000000" w:themeColor="text1"/>
          <w:sz w:val="32"/>
          <w:szCs w:val="32"/>
          <w14:textFill>
            <w14:solidFill>
              <w14:schemeClr w14:val="tx1"/>
            </w14:solidFill>
          </w14:textFill>
        </w:rPr>
        <w:t>9亿元，实现历史性突破。</w:t>
      </w:r>
      <w:r>
        <w:rPr>
          <w:b/>
          <w:bCs/>
          <w:color w:val="000000" w:themeColor="text1"/>
          <w:sz w:val="32"/>
          <w:szCs w:val="32"/>
          <w14:textFill>
            <w14:solidFill>
              <w14:schemeClr w14:val="tx1"/>
            </w14:solidFill>
          </w14:textFill>
        </w:rPr>
        <w:t>二是工业技改投资稳步提高。</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十三五</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以来，全市组织实施省重点技改项目163个，设备投资超千万元技改项目</w:t>
      </w:r>
      <w:r>
        <w:rPr>
          <w:rFonts w:hint="eastAsia"/>
          <w:color w:val="000000" w:themeColor="text1"/>
          <w:sz w:val="32"/>
          <w:szCs w:val="32"/>
          <w14:textFill>
            <w14:solidFill>
              <w14:schemeClr w14:val="tx1"/>
            </w14:solidFill>
          </w14:textFill>
        </w:rPr>
        <w:t>1790</w:t>
      </w:r>
      <w:r>
        <w:rPr>
          <w:color w:val="000000" w:themeColor="text1"/>
          <w:sz w:val="32"/>
          <w:szCs w:val="32"/>
          <w14:textFill>
            <w14:solidFill>
              <w14:schemeClr w14:val="tx1"/>
            </w14:solidFill>
          </w14:textFill>
        </w:rPr>
        <w:t>个，累计投资超过</w:t>
      </w:r>
      <w:r>
        <w:rPr>
          <w:rFonts w:hint="eastAsia"/>
          <w:color w:val="000000" w:themeColor="text1"/>
          <w:sz w:val="32"/>
          <w:szCs w:val="32"/>
          <w14:textFill>
            <w14:solidFill>
              <w14:schemeClr w14:val="tx1"/>
            </w14:solidFill>
          </w14:textFill>
        </w:rPr>
        <w:t>781.17</w:t>
      </w:r>
      <w:r>
        <w:rPr>
          <w:color w:val="000000" w:themeColor="text1"/>
          <w:sz w:val="32"/>
          <w:szCs w:val="32"/>
          <w14:textFill>
            <w14:solidFill>
              <w14:schemeClr w14:val="tx1"/>
            </w14:solidFill>
          </w14:textFill>
        </w:rPr>
        <w:t>亿元。</w:t>
      </w:r>
    </w:p>
    <w:p>
      <w:pPr>
        <w:spacing w:before="78" w:beforeLines="25" w:line="580" w:lineRule="exact"/>
        <w:jc w:val="center"/>
        <w:rPr>
          <w:rFonts w:eastAsia="方正黑体_GBK"/>
          <w:color w:val="000000" w:themeColor="text1"/>
          <w:sz w:val="28"/>
          <w:szCs w:val="30"/>
          <w14:textFill>
            <w14:solidFill>
              <w14:schemeClr w14:val="tx1"/>
            </w14:solidFill>
          </w14:textFill>
        </w:rPr>
      </w:pPr>
      <w:r>
        <w:rPr>
          <w:rFonts w:hint="eastAsia" w:eastAsia="方正黑体_GBK"/>
          <w:color w:val="000000" w:themeColor="text1"/>
          <w:sz w:val="28"/>
          <w:szCs w:val="30"/>
          <w14:textFill>
            <w14:solidFill>
              <w14:schemeClr w14:val="tx1"/>
            </w14:solidFill>
          </w14:textFill>
        </w:rPr>
        <w:t>“十三五”期间</w:t>
      </w:r>
      <w:r>
        <w:rPr>
          <w:rFonts w:eastAsia="方正黑体_GBK"/>
          <w:color w:val="000000" w:themeColor="text1"/>
          <w:sz w:val="28"/>
          <w:szCs w:val="30"/>
          <w14:textFill>
            <w14:solidFill>
              <w14:schemeClr w14:val="tx1"/>
            </w14:solidFill>
          </w14:textFill>
        </w:rPr>
        <w:t>全市投资超百亿重大项目情况表</w:t>
      </w:r>
      <w:r>
        <w:rPr>
          <w:rFonts w:hint="eastAsia" w:eastAsia="方正黑体_GBK"/>
          <w:color w:val="000000" w:themeColor="text1"/>
          <w:sz w:val="28"/>
          <w:szCs w:val="30"/>
          <w14:textFill>
            <w14:solidFill>
              <w14:schemeClr w14:val="tx1"/>
            </w14:solidFill>
          </w14:textFill>
        </w:rPr>
        <w:t>（表三）</w:t>
      </w:r>
    </w:p>
    <w:tbl>
      <w:tblPr>
        <w:tblStyle w:val="25"/>
        <w:tblW w:w="8605" w:type="dxa"/>
        <w:jc w:val="center"/>
        <w:tblLayout w:type="fixed"/>
        <w:tblCellMar>
          <w:top w:w="0" w:type="dxa"/>
          <w:left w:w="0" w:type="dxa"/>
          <w:bottom w:w="0" w:type="dxa"/>
          <w:right w:w="0" w:type="dxa"/>
        </w:tblCellMar>
      </w:tblPr>
      <w:tblGrid>
        <w:gridCol w:w="645"/>
        <w:gridCol w:w="1645"/>
        <w:gridCol w:w="2958"/>
        <w:gridCol w:w="1010"/>
        <w:gridCol w:w="1170"/>
        <w:gridCol w:w="1177"/>
      </w:tblGrid>
      <w:tr>
        <w:tblPrEx>
          <w:tblCellMar>
            <w:top w:w="0" w:type="dxa"/>
            <w:left w:w="0" w:type="dxa"/>
            <w:bottom w:w="0" w:type="dxa"/>
            <w:right w:w="0" w:type="dxa"/>
          </w:tblCellMar>
        </w:tblPrEx>
        <w:trPr>
          <w:cantSplit/>
          <w:trHeight w:val="639" w:hRule="atLeast"/>
          <w:tblHeader/>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黑体_GBK"/>
                <w:color w:val="000000" w:themeColor="text1"/>
                <w:szCs w:val="21"/>
                <w14:textFill>
                  <w14:solidFill>
                    <w14:schemeClr w14:val="tx1"/>
                  </w14:solidFill>
                </w14:textFill>
              </w:rPr>
            </w:pPr>
            <w:r>
              <w:rPr>
                <w:rFonts w:eastAsia="方正黑体_GBK"/>
                <w:color w:val="000000" w:themeColor="text1"/>
                <w:kern w:val="0"/>
                <w:szCs w:val="21"/>
                <w:lang w:bidi="ar"/>
                <w14:textFill>
                  <w14:solidFill>
                    <w14:schemeClr w14:val="tx1"/>
                  </w14:solidFill>
                </w14:textFill>
              </w:rPr>
              <w:t>序号</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黑体_GBK"/>
                <w:color w:val="000000" w:themeColor="text1"/>
                <w:szCs w:val="21"/>
                <w14:textFill>
                  <w14:solidFill>
                    <w14:schemeClr w14:val="tx1"/>
                  </w14:solidFill>
                </w14:textFill>
              </w:rPr>
            </w:pPr>
            <w:r>
              <w:rPr>
                <w:rFonts w:eastAsia="方正黑体_GBK"/>
                <w:color w:val="000000" w:themeColor="text1"/>
                <w:kern w:val="0"/>
                <w:szCs w:val="21"/>
                <w:lang w:bidi="ar"/>
                <w14:textFill>
                  <w14:solidFill>
                    <w14:schemeClr w14:val="tx1"/>
                  </w14:solidFill>
                </w14:textFill>
              </w:rPr>
              <w:t>企业名称</w:t>
            </w:r>
          </w:p>
        </w:tc>
        <w:tc>
          <w:tcPr>
            <w:tcW w:w="2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黑体_GBK"/>
                <w:color w:val="000000" w:themeColor="text1"/>
                <w:szCs w:val="21"/>
                <w14:textFill>
                  <w14:solidFill>
                    <w14:schemeClr w14:val="tx1"/>
                  </w14:solidFill>
                </w14:textFill>
              </w:rPr>
            </w:pPr>
            <w:r>
              <w:rPr>
                <w:rFonts w:eastAsia="方正黑体_GBK"/>
                <w:color w:val="000000" w:themeColor="text1"/>
                <w:kern w:val="0"/>
                <w:szCs w:val="21"/>
                <w:lang w:bidi="ar"/>
                <w14:textFill>
                  <w14:solidFill>
                    <w14:schemeClr w14:val="tx1"/>
                  </w14:solidFill>
                </w14:textFill>
              </w:rPr>
              <w:t>项目内容</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黑体_GBK"/>
                <w:color w:val="000000" w:themeColor="text1"/>
                <w:szCs w:val="21"/>
                <w14:textFill>
                  <w14:solidFill>
                    <w14:schemeClr w14:val="tx1"/>
                  </w14:solidFill>
                </w14:textFill>
              </w:rPr>
            </w:pPr>
            <w:r>
              <w:rPr>
                <w:rFonts w:eastAsia="方正黑体_GBK"/>
                <w:color w:val="000000" w:themeColor="text1"/>
                <w:kern w:val="0"/>
                <w:szCs w:val="21"/>
                <w:lang w:bidi="ar"/>
                <w14:textFill>
                  <w14:solidFill>
                    <w14:schemeClr w14:val="tx1"/>
                  </w14:solidFill>
                </w14:textFill>
              </w:rPr>
              <w:t>总投资</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黑体_GBK"/>
                <w:color w:val="000000" w:themeColor="text1"/>
                <w:kern w:val="0"/>
                <w:szCs w:val="21"/>
                <w:lang w:bidi="ar"/>
                <w14:textFill>
                  <w14:solidFill>
                    <w14:schemeClr w14:val="tx1"/>
                  </w14:solidFill>
                </w14:textFill>
              </w:rPr>
            </w:pPr>
            <w:r>
              <w:rPr>
                <w:rFonts w:eastAsia="方正黑体_GBK"/>
                <w:color w:val="000000" w:themeColor="text1"/>
                <w:kern w:val="0"/>
                <w:szCs w:val="21"/>
                <w:lang w:bidi="ar"/>
                <w14:textFill>
                  <w14:solidFill>
                    <w14:schemeClr w14:val="tx1"/>
                  </w14:solidFill>
                </w14:textFill>
              </w:rPr>
              <w:t>新增</w:t>
            </w:r>
          </w:p>
          <w:p>
            <w:pPr>
              <w:widowControl/>
              <w:spacing w:line="360" w:lineRule="exact"/>
              <w:jc w:val="center"/>
              <w:textAlignment w:val="center"/>
              <w:rPr>
                <w:rFonts w:eastAsia="方正黑体_GBK"/>
                <w:color w:val="000000" w:themeColor="text1"/>
                <w:szCs w:val="21"/>
                <w14:textFill>
                  <w14:solidFill>
                    <w14:schemeClr w14:val="tx1"/>
                  </w14:solidFill>
                </w14:textFill>
              </w:rPr>
            </w:pPr>
            <w:r>
              <w:rPr>
                <w:rFonts w:eastAsia="方正黑体_GBK"/>
                <w:color w:val="000000" w:themeColor="text1"/>
                <w:kern w:val="0"/>
                <w:szCs w:val="21"/>
                <w:lang w:bidi="ar"/>
                <w14:textFill>
                  <w14:solidFill>
                    <w14:schemeClr w14:val="tx1"/>
                  </w14:solidFill>
                </w14:textFill>
              </w:rPr>
              <w:t>销售收入</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黑体_GBK"/>
                <w:color w:val="000000" w:themeColor="text1"/>
                <w:szCs w:val="21"/>
                <w14:textFill>
                  <w14:solidFill>
                    <w14:schemeClr w14:val="tx1"/>
                  </w14:solidFill>
                </w14:textFill>
              </w:rPr>
            </w:pPr>
            <w:r>
              <w:rPr>
                <w:rFonts w:eastAsia="方正黑体_GBK"/>
                <w:color w:val="000000" w:themeColor="text1"/>
                <w:kern w:val="0"/>
                <w:szCs w:val="21"/>
                <w:lang w:bidi="ar"/>
                <w14:textFill>
                  <w14:solidFill>
                    <w14:schemeClr w14:val="tx1"/>
                  </w14:solidFill>
                </w14:textFill>
              </w:rPr>
              <w:t>建设时间</w:t>
            </w:r>
          </w:p>
        </w:tc>
      </w:tr>
      <w:tr>
        <w:tblPrEx>
          <w:tblCellMar>
            <w:top w:w="0" w:type="dxa"/>
            <w:left w:w="0" w:type="dxa"/>
            <w:bottom w:w="0" w:type="dxa"/>
            <w:right w:w="0" w:type="dxa"/>
          </w:tblCellMar>
        </w:tblPrEx>
        <w:trPr>
          <w:cantSplit/>
          <w:trHeight w:val="6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宋体"/>
                <w:color w:val="000000" w:themeColor="text1"/>
                <w:szCs w:val="21"/>
                <w14:textFill>
                  <w14:solidFill>
                    <w14:schemeClr w14:val="tx1"/>
                  </w14:solidFill>
                </w14:textFill>
              </w:rPr>
            </w:pPr>
            <w:r>
              <w:rPr>
                <w:rFonts w:eastAsia="宋体"/>
                <w:color w:val="000000" w:themeColor="text1"/>
                <w:kern w:val="0"/>
                <w:szCs w:val="21"/>
                <w:lang w:bidi="ar"/>
                <w14:textFill>
                  <w14:solidFill>
                    <w14:schemeClr w14:val="tx1"/>
                  </w14:solidFill>
                </w14:textFill>
              </w:rPr>
              <w:t>1</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恒力（宿迁）时尚产业园</w:t>
            </w:r>
          </w:p>
        </w:tc>
        <w:tc>
          <w:tcPr>
            <w:tcW w:w="2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年产120万吨差别化超仿真功能性化学纤维、10亿米功能性面料项目</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280亿元</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300亿元</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宋体"/>
                <w:color w:val="000000" w:themeColor="text1"/>
                <w:szCs w:val="21"/>
                <w14:textFill>
                  <w14:solidFill>
                    <w14:schemeClr w14:val="tx1"/>
                  </w14:solidFill>
                </w14:textFill>
              </w:rPr>
            </w:pPr>
            <w:r>
              <w:rPr>
                <w:rFonts w:eastAsia="宋体"/>
                <w:color w:val="000000" w:themeColor="text1"/>
                <w:kern w:val="0"/>
                <w:szCs w:val="21"/>
                <w:lang w:bidi="ar"/>
                <w14:textFill>
                  <w14:solidFill>
                    <w14:schemeClr w14:val="tx1"/>
                  </w14:solidFill>
                </w14:textFill>
              </w:rPr>
              <w:t>2020-2021</w:t>
            </w:r>
          </w:p>
        </w:tc>
      </w:tr>
      <w:tr>
        <w:tblPrEx>
          <w:tblCellMar>
            <w:top w:w="0" w:type="dxa"/>
            <w:left w:w="0" w:type="dxa"/>
            <w:bottom w:w="0" w:type="dxa"/>
            <w:right w:w="0" w:type="dxa"/>
          </w:tblCellMar>
        </w:tblPrEx>
        <w:trPr>
          <w:cantSplit/>
          <w:trHeight w:val="6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宋体"/>
                <w:color w:val="000000" w:themeColor="text1"/>
                <w:szCs w:val="21"/>
                <w14:textFill>
                  <w14:solidFill>
                    <w14:schemeClr w14:val="tx1"/>
                  </w14:solidFill>
                </w14:textFill>
              </w:rPr>
            </w:pPr>
            <w:r>
              <w:rPr>
                <w:rFonts w:eastAsia="宋体"/>
                <w:color w:val="000000" w:themeColor="text1"/>
                <w:kern w:val="0"/>
                <w:szCs w:val="21"/>
                <w:lang w:bidi="ar"/>
                <w14:textFill>
                  <w14:solidFill>
                    <w14:schemeClr w14:val="tx1"/>
                  </w14:solidFill>
                </w14:textFill>
              </w:rPr>
              <w:t>2</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宿迁市逸达新材料有限公司</w:t>
            </w:r>
          </w:p>
        </w:tc>
        <w:tc>
          <w:tcPr>
            <w:tcW w:w="2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年产140万吨差别化纤维品质提升改造扩建项目</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260亿元</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120亿元</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宋体"/>
                <w:color w:val="000000" w:themeColor="text1"/>
                <w:szCs w:val="21"/>
                <w14:textFill>
                  <w14:solidFill>
                    <w14:schemeClr w14:val="tx1"/>
                  </w14:solidFill>
                </w14:textFill>
              </w:rPr>
            </w:pPr>
            <w:r>
              <w:rPr>
                <w:rFonts w:eastAsia="宋体"/>
                <w:color w:val="000000" w:themeColor="text1"/>
                <w:kern w:val="0"/>
                <w:szCs w:val="21"/>
                <w:lang w:bidi="ar"/>
                <w14:textFill>
                  <w14:solidFill>
                    <w14:schemeClr w14:val="tx1"/>
                  </w14:solidFill>
                </w14:textFill>
              </w:rPr>
              <w:t>2019-2021</w:t>
            </w:r>
          </w:p>
        </w:tc>
      </w:tr>
      <w:tr>
        <w:tblPrEx>
          <w:tblCellMar>
            <w:top w:w="0" w:type="dxa"/>
            <w:left w:w="0" w:type="dxa"/>
            <w:bottom w:w="0" w:type="dxa"/>
            <w:right w:w="0" w:type="dxa"/>
          </w:tblCellMar>
        </w:tblPrEx>
        <w:trPr>
          <w:cantSplit/>
          <w:trHeight w:val="6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宋体"/>
                <w:color w:val="000000" w:themeColor="text1"/>
                <w:szCs w:val="21"/>
                <w14:textFill>
                  <w14:solidFill>
                    <w14:schemeClr w14:val="tx1"/>
                  </w14:solidFill>
                </w14:textFill>
              </w:rPr>
            </w:pPr>
            <w:r>
              <w:rPr>
                <w:rFonts w:eastAsia="宋体"/>
                <w:color w:val="000000" w:themeColor="text1"/>
                <w:kern w:val="0"/>
                <w:szCs w:val="21"/>
                <w:lang w:bidi="ar"/>
                <w14:textFill>
                  <w14:solidFill>
                    <w14:schemeClr w14:val="tx1"/>
                  </w14:solidFill>
                </w14:textFill>
              </w:rPr>
              <w:t>3</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textAlignment w:val="center"/>
              <w:rPr>
                <w:rFonts w:eastAsia="方正楷体_GBK"/>
                <w:color w:val="000000" w:themeColor="text1"/>
                <w:spacing w:val="-4"/>
                <w:szCs w:val="21"/>
                <w14:textFill>
                  <w14:solidFill>
                    <w14:schemeClr w14:val="tx1"/>
                  </w14:solidFill>
                </w14:textFill>
              </w:rPr>
            </w:pPr>
            <w:r>
              <w:rPr>
                <w:rFonts w:eastAsia="方正楷体_GBK"/>
                <w:color w:val="000000" w:themeColor="text1"/>
                <w:spacing w:val="-4"/>
                <w:kern w:val="0"/>
                <w:szCs w:val="21"/>
                <w:lang w:bidi="ar"/>
                <w14:textFill>
                  <w14:solidFill>
                    <w14:schemeClr w14:val="tx1"/>
                  </w14:solidFill>
                </w14:textFill>
              </w:rPr>
              <w:t>国望高科纤维（宿迁）有限公司</w:t>
            </w:r>
          </w:p>
        </w:tc>
        <w:tc>
          <w:tcPr>
            <w:tcW w:w="2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年产差别化功能性纤维200万吨及配套智能加弹装置项目</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180亿元</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250亿元</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宋体"/>
                <w:color w:val="000000" w:themeColor="text1"/>
                <w:szCs w:val="21"/>
                <w14:textFill>
                  <w14:solidFill>
                    <w14:schemeClr w14:val="tx1"/>
                  </w14:solidFill>
                </w14:textFill>
              </w:rPr>
            </w:pPr>
            <w:r>
              <w:rPr>
                <w:rFonts w:eastAsia="宋体"/>
                <w:color w:val="000000" w:themeColor="text1"/>
                <w:kern w:val="0"/>
                <w:szCs w:val="21"/>
                <w:lang w:bidi="ar"/>
                <w14:textFill>
                  <w14:solidFill>
                    <w14:schemeClr w14:val="tx1"/>
                  </w14:solidFill>
                </w14:textFill>
              </w:rPr>
              <w:t>2020-2023</w:t>
            </w:r>
          </w:p>
        </w:tc>
      </w:tr>
      <w:tr>
        <w:tblPrEx>
          <w:tblCellMar>
            <w:top w:w="0" w:type="dxa"/>
            <w:left w:w="0" w:type="dxa"/>
            <w:bottom w:w="0" w:type="dxa"/>
            <w:right w:w="0" w:type="dxa"/>
          </w:tblCellMar>
        </w:tblPrEx>
        <w:trPr>
          <w:cantSplit/>
          <w:trHeight w:val="6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宋体"/>
                <w:color w:val="000000" w:themeColor="text1"/>
                <w:szCs w:val="21"/>
                <w14:textFill>
                  <w14:solidFill>
                    <w14:schemeClr w14:val="tx1"/>
                  </w14:solidFill>
                </w14:textFill>
              </w:rPr>
            </w:pPr>
            <w:r>
              <w:rPr>
                <w:rFonts w:eastAsia="宋体"/>
                <w:color w:val="000000" w:themeColor="text1"/>
                <w:kern w:val="0"/>
                <w:szCs w:val="21"/>
                <w:lang w:bidi="ar"/>
                <w14:textFill>
                  <w14:solidFill>
                    <w14:schemeClr w14:val="tx1"/>
                  </w14:solidFill>
                </w14:textFill>
              </w:rPr>
              <w:t>4</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天合光能（宿迁）光伏产业园</w:t>
            </w:r>
          </w:p>
        </w:tc>
        <w:tc>
          <w:tcPr>
            <w:tcW w:w="2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10GW光伏组件、10GW光伏电池及其衍生产品项目</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115亿元</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120亿元</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宋体"/>
                <w:color w:val="000000" w:themeColor="text1"/>
                <w:szCs w:val="21"/>
                <w14:textFill>
                  <w14:solidFill>
                    <w14:schemeClr w14:val="tx1"/>
                  </w14:solidFill>
                </w14:textFill>
              </w:rPr>
            </w:pPr>
            <w:r>
              <w:rPr>
                <w:rFonts w:eastAsia="宋体"/>
                <w:color w:val="000000" w:themeColor="text1"/>
                <w:kern w:val="0"/>
                <w:szCs w:val="21"/>
                <w:lang w:bidi="ar"/>
                <w14:textFill>
                  <w14:solidFill>
                    <w14:schemeClr w14:val="tx1"/>
                  </w14:solidFill>
                </w14:textFill>
              </w:rPr>
              <w:t>2018-2021</w:t>
            </w:r>
          </w:p>
        </w:tc>
      </w:tr>
      <w:tr>
        <w:tblPrEx>
          <w:tblCellMar>
            <w:top w:w="0" w:type="dxa"/>
            <w:left w:w="0" w:type="dxa"/>
            <w:bottom w:w="0" w:type="dxa"/>
            <w:right w:w="0" w:type="dxa"/>
          </w:tblCellMar>
        </w:tblPrEx>
        <w:trPr>
          <w:cantSplit/>
          <w:trHeight w:val="6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宋体"/>
                <w:color w:val="000000" w:themeColor="text1"/>
                <w:szCs w:val="21"/>
                <w14:textFill>
                  <w14:solidFill>
                    <w14:schemeClr w14:val="tx1"/>
                  </w14:solidFill>
                </w14:textFill>
              </w:rPr>
            </w:pPr>
            <w:r>
              <w:rPr>
                <w:rFonts w:eastAsia="宋体"/>
                <w:color w:val="000000" w:themeColor="text1"/>
                <w:kern w:val="0"/>
                <w:szCs w:val="21"/>
                <w:lang w:bidi="ar"/>
                <w14:textFill>
                  <w14:solidFill>
                    <w14:schemeClr w14:val="tx1"/>
                  </w14:solidFill>
                </w14:textFill>
              </w:rPr>
              <w:t>5</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江苏龙恒新能源有限公司</w:t>
            </w:r>
          </w:p>
        </w:tc>
        <w:tc>
          <w:tcPr>
            <w:tcW w:w="2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年产10GW光伏电池、5GW切片、5GW组件项目</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102亿元</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166亿元</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宋体"/>
                <w:color w:val="000000" w:themeColor="text1"/>
                <w:szCs w:val="21"/>
                <w14:textFill>
                  <w14:solidFill>
                    <w14:schemeClr w14:val="tx1"/>
                  </w14:solidFill>
                </w14:textFill>
              </w:rPr>
            </w:pPr>
            <w:r>
              <w:rPr>
                <w:rFonts w:eastAsia="宋体"/>
                <w:color w:val="000000" w:themeColor="text1"/>
                <w:kern w:val="0"/>
                <w:szCs w:val="21"/>
                <w:lang w:bidi="ar"/>
                <w14:textFill>
                  <w14:solidFill>
                    <w14:schemeClr w14:val="tx1"/>
                  </w14:solidFill>
                </w14:textFill>
              </w:rPr>
              <w:t>2019-2021</w:t>
            </w:r>
          </w:p>
        </w:tc>
      </w:tr>
      <w:tr>
        <w:tblPrEx>
          <w:tblCellMar>
            <w:top w:w="0" w:type="dxa"/>
            <w:left w:w="0" w:type="dxa"/>
            <w:bottom w:w="0" w:type="dxa"/>
            <w:right w:w="0" w:type="dxa"/>
          </w:tblCellMar>
        </w:tblPrEx>
        <w:trPr>
          <w:cantSplit/>
          <w:trHeight w:val="6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6</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斯迪克膜材料产业园</w:t>
            </w:r>
          </w:p>
        </w:tc>
        <w:tc>
          <w:tcPr>
            <w:tcW w:w="2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高端功能性薄膜及衍生产品生产等项目</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120亿元</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楷体_GBK"/>
                <w:color w:val="000000" w:themeColor="text1"/>
                <w:szCs w:val="21"/>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150亿元</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宋体"/>
                <w:color w:val="000000" w:themeColor="text1"/>
                <w:szCs w:val="21"/>
                <w14:textFill>
                  <w14:solidFill>
                    <w14:schemeClr w14:val="tx1"/>
                  </w14:solidFill>
                </w14:textFill>
              </w:rPr>
            </w:pPr>
            <w:r>
              <w:rPr>
                <w:rFonts w:eastAsia="宋体"/>
                <w:color w:val="000000" w:themeColor="text1"/>
                <w:kern w:val="0"/>
                <w:szCs w:val="21"/>
                <w:lang w:bidi="ar"/>
                <w14:textFill>
                  <w14:solidFill>
                    <w14:schemeClr w14:val="tx1"/>
                  </w14:solidFill>
                </w14:textFill>
              </w:rPr>
              <w:t>2020-2023</w:t>
            </w:r>
          </w:p>
        </w:tc>
      </w:tr>
      <w:tr>
        <w:tblPrEx>
          <w:tblCellMar>
            <w:top w:w="0" w:type="dxa"/>
            <w:left w:w="0" w:type="dxa"/>
            <w:bottom w:w="0" w:type="dxa"/>
            <w:right w:w="0" w:type="dxa"/>
          </w:tblCellMar>
        </w:tblPrEx>
        <w:trPr>
          <w:cantSplit/>
          <w:trHeight w:val="6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textAlignment w:val="center"/>
              <w:rPr>
                <w:rFonts w:eastAsia="方正楷体_GBK"/>
                <w:color w:val="000000" w:themeColor="text1"/>
                <w:kern w:val="0"/>
                <w:szCs w:val="21"/>
                <w:lang w:bidi="ar"/>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天能集团沭阳公司</w:t>
            </w:r>
          </w:p>
        </w:tc>
        <w:tc>
          <w:tcPr>
            <w:tcW w:w="2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textAlignment w:val="center"/>
              <w:rPr>
                <w:rFonts w:eastAsia="方正楷体_GBK"/>
                <w:color w:val="000000" w:themeColor="text1"/>
                <w:kern w:val="0"/>
                <w:szCs w:val="21"/>
                <w:lang w:bidi="ar"/>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包含天能循环经济、新能源电池、氢能源电池和物流生态链四个板块</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楷体_GBK"/>
                <w:color w:val="000000" w:themeColor="text1"/>
                <w:kern w:val="0"/>
                <w:szCs w:val="21"/>
                <w:lang w:bidi="ar"/>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120亿元</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楷体_GBK"/>
                <w:color w:val="000000" w:themeColor="text1"/>
                <w:kern w:val="0"/>
                <w:szCs w:val="21"/>
                <w:lang w:bidi="ar"/>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500</w:t>
            </w:r>
            <w:r>
              <w:rPr>
                <w:rFonts w:hint="eastAsia" w:eastAsia="方正楷体_GBK"/>
                <w:color w:val="000000" w:themeColor="text1"/>
                <w:kern w:val="0"/>
                <w:szCs w:val="21"/>
                <w:lang w:bidi="ar"/>
                <w14:textFill>
                  <w14:solidFill>
                    <w14:schemeClr w14:val="tx1"/>
                  </w14:solidFill>
                </w14:textFill>
              </w:rPr>
              <w:t>亿元</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宋体"/>
                <w:color w:val="000000" w:themeColor="text1"/>
                <w:kern w:val="0"/>
                <w:szCs w:val="21"/>
                <w:lang w:bidi="ar"/>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2020-2025</w:t>
            </w:r>
          </w:p>
        </w:tc>
      </w:tr>
      <w:tr>
        <w:tblPrEx>
          <w:tblCellMar>
            <w:top w:w="0" w:type="dxa"/>
            <w:left w:w="0" w:type="dxa"/>
            <w:bottom w:w="0" w:type="dxa"/>
            <w:right w:w="0" w:type="dxa"/>
          </w:tblCellMar>
        </w:tblPrEx>
        <w:trPr>
          <w:cantSplit/>
          <w:trHeight w:val="6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楷体_GBK"/>
                <w:color w:val="000000" w:themeColor="text1"/>
                <w:kern w:val="0"/>
                <w:szCs w:val="21"/>
                <w:lang w:bidi="ar"/>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8</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textAlignment w:val="center"/>
              <w:rPr>
                <w:rFonts w:eastAsia="方正楷体_GBK"/>
                <w:color w:val="000000" w:themeColor="text1"/>
                <w:kern w:val="0"/>
                <w:szCs w:val="21"/>
                <w:lang w:bidi="ar"/>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桐昆集团股份有限公司</w:t>
            </w:r>
          </w:p>
        </w:tc>
        <w:tc>
          <w:tcPr>
            <w:tcW w:w="2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textAlignment w:val="center"/>
              <w:rPr>
                <w:rFonts w:eastAsia="方正楷体_GBK"/>
                <w:color w:val="000000" w:themeColor="text1"/>
                <w:kern w:val="0"/>
                <w:szCs w:val="21"/>
                <w:lang w:bidi="ar"/>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年产240万吨新型功能纤维、90万吨功能性DTY纤维、25万吨高端面料坯布的生产</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楷体_GBK"/>
                <w:color w:val="000000" w:themeColor="text1"/>
                <w:kern w:val="0"/>
                <w:szCs w:val="21"/>
                <w:lang w:bidi="ar"/>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150亿元</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楷体_GBK"/>
                <w:color w:val="000000" w:themeColor="text1"/>
                <w:kern w:val="0"/>
                <w:szCs w:val="21"/>
                <w:lang w:bidi="ar"/>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300亿元</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宋体"/>
                <w:color w:val="000000" w:themeColor="text1"/>
                <w:kern w:val="0"/>
                <w:szCs w:val="21"/>
                <w:lang w:bidi="ar"/>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2020-2023</w:t>
            </w:r>
          </w:p>
        </w:tc>
      </w:tr>
      <w:tr>
        <w:tblPrEx>
          <w:tblCellMar>
            <w:top w:w="0" w:type="dxa"/>
            <w:left w:w="0" w:type="dxa"/>
            <w:bottom w:w="0" w:type="dxa"/>
            <w:right w:w="0" w:type="dxa"/>
          </w:tblCellMar>
        </w:tblPrEx>
        <w:trPr>
          <w:cantSplit/>
          <w:trHeight w:val="6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9</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textAlignment w:val="center"/>
              <w:rPr>
                <w:rFonts w:eastAsia="方正楷体_GBK"/>
                <w:color w:val="000000" w:themeColor="text1"/>
                <w:kern w:val="0"/>
                <w:szCs w:val="21"/>
                <w:lang w:bidi="ar"/>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南</w:t>
            </w:r>
            <w:r>
              <w:rPr>
                <w:rFonts w:eastAsia="方正楷体_GBK"/>
                <w:color w:val="000000" w:themeColor="text1"/>
                <w:kern w:val="0"/>
                <w:szCs w:val="21"/>
                <w:lang w:bidi="ar"/>
                <w14:textFill>
                  <w14:solidFill>
                    <w14:schemeClr w14:val="tx1"/>
                  </w14:solidFill>
                </w14:textFill>
              </w:rPr>
              <w:t>玻院江苏（宿迁）新材料产业园</w:t>
            </w:r>
          </w:p>
        </w:tc>
        <w:tc>
          <w:tcPr>
            <w:tcW w:w="2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textAlignment w:val="center"/>
              <w:rPr>
                <w:rFonts w:eastAsia="方正楷体_GBK"/>
                <w:color w:val="000000" w:themeColor="text1"/>
                <w:kern w:val="0"/>
                <w:szCs w:val="21"/>
                <w:lang w:bidi="ar"/>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年产高硅氧原丝10000吨、年产10000吨特种高硅氧玻璃纤维、年产4500万米高硅氧轻型织物及年产3000吨复合特种玻璃纤维特种复材项目</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楷体_GBK"/>
                <w:color w:val="000000" w:themeColor="text1"/>
                <w:kern w:val="0"/>
                <w:szCs w:val="21"/>
                <w:lang w:bidi="ar"/>
                <w14:textFill>
                  <w14:solidFill>
                    <w14:schemeClr w14:val="tx1"/>
                  </w14:solidFill>
                </w14:textFill>
              </w:rPr>
            </w:pPr>
            <w:r>
              <w:rPr>
                <w:rFonts w:eastAsia="方正楷体_GBK"/>
                <w:color w:val="000000" w:themeColor="text1"/>
                <w:kern w:val="0"/>
                <w:szCs w:val="21"/>
                <w:lang w:bidi="ar"/>
                <w14:textFill>
                  <w14:solidFill>
                    <w14:schemeClr w14:val="tx1"/>
                  </w14:solidFill>
                </w14:textFill>
              </w:rPr>
              <w:t>110亿元</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楷体_GBK"/>
                <w:color w:val="000000" w:themeColor="text1"/>
                <w:kern w:val="0"/>
                <w:szCs w:val="21"/>
                <w:lang w:bidi="ar"/>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180亿元</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宋体"/>
                <w:color w:val="000000" w:themeColor="text1"/>
                <w:kern w:val="0"/>
                <w:szCs w:val="21"/>
                <w:lang w:bidi="ar"/>
                <w14:textFill>
                  <w14:solidFill>
                    <w14:schemeClr w14:val="tx1"/>
                  </w14:solidFill>
                </w14:textFill>
              </w:rPr>
            </w:pPr>
            <w:r>
              <w:rPr>
                <w:rFonts w:hint="eastAsia" w:eastAsia="宋体"/>
                <w:color w:val="000000" w:themeColor="text1"/>
                <w:kern w:val="0"/>
                <w:szCs w:val="21"/>
                <w:lang w:bidi="ar"/>
                <w14:textFill>
                  <w14:solidFill>
                    <w14:schemeClr w14:val="tx1"/>
                  </w14:solidFill>
                </w14:textFill>
              </w:rPr>
              <w:t>2021-2023</w:t>
            </w:r>
          </w:p>
        </w:tc>
      </w:tr>
      <w:tr>
        <w:tblPrEx>
          <w:tblCellMar>
            <w:top w:w="0" w:type="dxa"/>
            <w:left w:w="0" w:type="dxa"/>
            <w:bottom w:w="0" w:type="dxa"/>
            <w:right w:w="0" w:type="dxa"/>
          </w:tblCellMar>
        </w:tblPrEx>
        <w:trPr>
          <w:cantSplit/>
          <w:trHeight w:val="6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w:t>
            </w:r>
          </w:p>
        </w:tc>
        <w:tc>
          <w:tcPr>
            <w:tcW w:w="1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textAlignment w:val="center"/>
              <w:rPr>
                <w:rFonts w:eastAsia="方正楷体_GBK"/>
                <w:color w:val="000000" w:themeColor="text1"/>
                <w:spacing w:val="-8"/>
                <w:kern w:val="0"/>
                <w:szCs w:val="21"/>
                <w:lang w:bidi="ar"/>
                <w14:textFill>
                  <w14:solidFill>
                    <w14:schemeClr w14:val="tx1"/>
                  </w14:solidFill>
                </w14:textFill>
              </w:rPr>
            </w:pPr>
            <w:r>
              <w:rPr>
                <w:rFonts w:hint="eastAsia" w:eastAsia="方正楷体_GBK"/>
                <w:color w:val="000000" w:themeColor="text1"/>
                <w:spacing w:val="-8"/>
                <w:kern w:val="0"/>
                <w:szCs w:val="21"/>
                <w:lang w:bidi="ar"/>
                <w14:textFill>
                  <w14:solidFill>
                    <w14:schemeClr w14:val="tx1"/>
                  </w14:solidFill>
                </w14:textFill>
              </w:rPr>
              <w:t>宿迁阿特斯阳光能源科技有限公司</w:t>
            </w:r>
          </w:p>
        </w:tc>
        <w:tc>
          <w:tcPr>
            <w:tcW w:w="29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left"/>
              <w:textAlignment w:val="center"/>
              <w:rPr>
                <w:rFonts w:eastAsia="方正楷体_GBK"/>
                <w:color w:val="000000" w:themeColor="text1"/>
                <w:kern w:val="0"/>
                <w:szCs w:val="21"/>
                <w:lang w:bidi="ar"/>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年产10</w:t>
            </w:r>
            <w:r>
              <w:rPr>
                <w:rFonts w:eastAsia="方正楷体_GBK"/>
                <w:color w:val="000000" w:themeColor="text1"/>
                <w:kern w:val="0"/>
                <w:szCs w:val="21"/>
                <w:lang w:bidi="ar"/>
                <w14:textFill>
                  <w14:solidFill>
                    <w14:schemeClr w14:val="tx1"/>
                  </w14:solidFill>
                </w14:textFill>
              </w:rPr>
              <w:t>GW</w:t>
            </w:r>
            <w:r>
              <w:rPr>
                <w:rFonts w:hint="eastAsia" w:eastAsia="方正楷体_GBK"/>
                <w:color w:val="000000" w:themeColor="text1"/>
                <w:kern w:val="0"/>
                <w:szCs w:val="21"/>
                <w:lang w:bidi="ar"/>
                <w14:textFill>
                  <w14:solidFill>
                    <w14:schemeClr w14:val="tx1"/>
                  </w14:solidFill>
                </w14:textFill>
              </w:rPr>
              <w:t>高效光伏组件、年产10</w:t>
            </w:r>
            <w:r>
              <w:rPr>
                <w:rFonts w:eastAsia="方正楷体_GBK"/>
                <w:color w:val="000000" w:themeColor="text1"/>
                <w:kern w:val="0"/>
                <w:szCs w:val="21"/>
                <w:lang w:bidi="ar"/>
                <w14:textFill>
                  <w14:solidFill>
                    <w14:schemeClr w14:val="tx1"/>
                  </w14:solidFill>
                </w14:textFill>
              </w:rPr>
              <w:t>GW</w:t>
            </w:r>
            <w:r>
              <w:rPr>
                <w:rFonts w:hint="eastAsia" w:eastAsia="方正楷体_GBK"/>
                <w:color w:val="000000" w:themeColor="text1"/>
                <w:kern w:val="0"/>
                <w:szCs w:val="21"/>
                <w:lang w:bidi="ar"/>
                <w14:textFill>
                  <w14:solidFill>
                    <w14:schemeClr w14:val="tx1"/>
                  </w14:solidFill>
                </w14:textFill>
              </w:rPr>
              <w:t>高效光伏电池项目</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楷体_GBK"/>
                <w:color w:val="000000" w:themeColor="text1"/>
                <w:kern w:val="0"/>
                <w:szCs w:val="21"/>
                <w:lang w:bidi="ar"/>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102亿元</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楷体_GBK"/>
                <w:color w:val="000000" w:themeColor="text1"/>
                <w:kern w:val="0"/>
                <w:szCs w:val="21"/>
                <w:lang w:bidi="ar"/>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230亿元</w:t>
            </w:r>
          </w:p>
        </w:tc>
        <w:tc>
          <w:tcPr>
            <w:tcW w:w="1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exact"/>
              <w:jc w:val="center"/>
              <w:textAlignment w:val="center"/>
              <w:rPr>
                <w:rFonts w:eastAsia="方正楷体_GBK"/>
                <w:color w:val="000000" w:themeColor="text1"/>
                <w:kern w:val="0"/>
                <w:szCs w:val="21"/>
                <w:lang w:bidi="ar"/>
                <w14:textFill>
                  <w14:solidFill>
                    <w14:schemeClr w14:val="tx1"/>
                  </w14:solidFill>
                </w14:textFill>
              </w:rPr>
            </w:pPr>
            <w:r>
              <w:rPr>
                <w:rFonts w:hint="eastAsia" w:eastAsia="方正楷体_GBK"/>
                <w:color w:val="000000" w:themeColor="text1"/>
                <w:kern w:val="0"/>
                <w:szCs w:val="21"/>
                <w:lang w:bidi="ar"/>
                <w14:textFill>
                  <w14:solidFill>
                    <w14:schemeClr w14:val="tx1"/>
                  </w14:solidFill>
                </w14:textFill>
              </w:rPr>
              <w:t>2020-2023</w:t>
            </w:r>
          </w:p>
        </w:tc>
      </w:tr>
    </w:tbl>
    <w:p>
      <w:pPr>
        <w:pStyle w:val="8"/>
        <w:spacing w:before="156" w:beforeLines="50" w:after="0" w:line="580" w:lineRule="exact"/>
        <w:ind w:firstLine="640" w:firstLineChars="200"/>
        <w:rPr>
          <w:rFonts w:eastAsia="方正黑体_GBK"/>
          <w:b w:val="0"/>
          <w:color w:val="000000" w:themeColor="text1"/>
          <w14:textFill>
            <w14:solidFill>
              <w14:schemeClr w14:val="tx1"/>
            </w14:solidFill>
          </w14:textFill>
        </w:rPr>
      </w:pPr>
      <w:r>
        <w:rPr>
          <w:rFonts w:eastAsia="方正黑体_GBK"/>
          <w:b w:val="0"/>
          <w:color w:val="000000" w:themeColor="text1"/>
          <w14:textFill>
            <w14:solidFill>
              <w14:schemeClr w14:val="tx1"/>
            </w14:solidFill>
          </w14:textFill>
        </w:rPr>
        <w:t>六、融合发展扎实推进</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十三五</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期间，全市深入开展两化融合和企业智能化改造，成效显著。</w:t>
      </w:r>
      <w:r>
        <w:rPr>
          <w:b/>
          <w:color w:val="000000" w:themeColor="text1"/>
          <w:sz w:val="32"/>
          <w:szCs w:val="32"/>
          <w14:textFill>
            <w14:solidFill>
              <w14:schemeClr w14:val="tx1"/>
            </w14:solidFill>
          </w14:textFill>
        </w:rPr>
        <w:t>一是两化融合成效显现</w:t>
      </w:r>
      <w:r>
        <w:rPr>
          <w:color w:val="000000" w:themeColor="text1"/>
          <w:sz w:val="32"/>
          <w:szCs w:val="32"/>
          <w14:textFill>
            <w14:solidFill>
              <w14:schemeClr w14:val="tx1"/>
            </w14:solidFill>
          </w14:textFill>
        </w:rPr>
        <w:t>。</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十三五</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以来，全市累计实施重点两化融合项目128个，建成省重点工业互联网平台4个、省工业互联网标杆工厂2个、通过两化融合贯标企业95个，新增省星级</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上云</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企业391个，其中三星级319个、四星级70个、五星级2个。全市两化融合发展水平指数提高至58.8。</w:t>
      </w:r>
      <w:r>
        <w:rPr>
          <w:b/>
          <w:color w:val="000000" w:themeColor="text1"/>
          <w:sz w:val="32"/>
          <w:szCs w:val="32"/>
          <w14:textFill>
            <w14:solidFill>
              <w14:schemeClr w14:val="tx1"/>
            </w14:solidFill>
          </w14:textFill>
        </w:rPr>
        <w:t>二是</w:t>
      </w:r>
      <w:r>
        <w:rPr>
          <w:rFonts w:hint="eastAsia"/>
          <w:b/>
          <w:color w:val="000000" w:themeColor="text1"/>
          <w:sz w:val="32"/>
          <w:szCs w:val="32"/>
          <w14:textFill>
            <w14:solidFill>
              <w14:schemeClr w14:val="tx1"/>
            </w14:solidFill>
          </w14:textFill>
        </w:rPr>
        <w:t>智造新生力量不断涌现</w:t>
      </w:r>
      <w:r>
        <w:rPr>
          <w:color w:val="000000" w:themeColor="text1"/>
          <w:sz w:val="32"/>
          <w:szCs w:val="32"/>
          <w14:textFill>
            <w14:solidFill>
              <w14:schemeClr w14:val="tx1"/>
            </w14:solidFill>
          </w14:textFill>
        </w:rPr>
        <w:t>。</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十三五</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以来，全市积极推进企业智能化改造，累计实施220个智能化改造项目，推广应用工业机器人1220余台套</w:t>
      </w:r>
      <w:r>
        <w:rPr>
          <w:rFonts w:hint="eastAsia"/>
          <w:color w:val="000000" w:themeColor="text1"/>
          <w:sz w:val="32"/>
          <w:szCs w:val="32"/>
          <w14:textFill>
            <w14:solidFill>
              <w14:schemeClr w14:val="tx1"/>
            </w14:solidFill>
          </w14:textFill>
        </w:rPr>
        <w:t>；建成省级智能工厂1户（洋河酒厂），市级以上示范智能车间157个，其中省级以上21个。</w:t>
      </w:r>
      <w:r>
        <w:rPr>
          <w:color w:val="000000" w:themeColor="text1"/>
          <w:sz w:val="32"/>
          <w:szCs w:val="32"/>
          <w14:textFill>
            <w14:solidFill>
              <w14:schemeClr w14:val="tx1"/>
            </w14:solidFill>
          </w14:textFill>
        </w:rPr>
        <w:t>3家企业入选江苏省智能制造领军服务机构。</w:t>
      </w:r>
      <w:r>
        <w:rPr>
          <w:rFonts w:hint="eastAsia" w:cs="方正仿宋_GBK"/>
          <w:b/>
          <w:bCs/>
          <w:color w:val="000000" w:themeColor="text1"/>
          <w:sz w:val="32"/>
          <w:szCs w:val="32"/>
          <w14:textFill>
            <w14:solidFill>
              <w14:schemeClr w14:val="tx1"/>
            </w14:solidFill>
          </w14:textFill>
        </w:rPr>
        <w:t>三是</w:t>
      </w:r>
      <w:r>
        <w:rPr>
          <w:rFonts w:hint="eastAsia" w:cs="方正仿宋_GBK"/>
          <w:b/>
          <w:bCs/>
          <w:color w:val="000000" w:themeColor="text1"/>
          <w:kern w:val="0"/>
          <w:sz w:val="32"/>
          <w:szCs w:val="32"/>
          <w:lang w:bidi="ar"/>
          <w14:textFill>
            <w14:solidFill>
              <w14:schemeClr w14:val="tx1"/>
            </w14:solidFill>
          </w14:textFill>
        </w:rPr>
        <w:t>信息基础设施不断夯实。</w:t>
      </w:r>
      <w:r>
        <w:rPr>
          <w:rFonts w:hint="eastAsia"/>
          <w:bCs/>
          <w:color w:val="000000" w:themeColor="text1"/>
          <w:kern w:val="0"/>
          <w:sz w:val="32"/>
          <w:szCs w:val="32"/>
          <w:lang w:bidi="ar"/>
          <w14:textFill>
            <w14:solidFill>
              <w14:schemeClr w14:val="tx1"/>
            </w14:solidFill>
          </w14:textFill>
        </w:rPr>
        <w:t>无线网络覆盖持续扩大，在实现4G网络城乡全覆盖的基础上，编制5G网络空间布局规划，加快推进5G网络建设，截至2020年底累计建成5G基站2250个，基本实现市县城区5G网络覆盖。高速宽带基础更加夯实，全面建成全光网城市，城域网出口带宽达到6000G，宽带用户实际平均接入速率超过100M，速率在1000M以上的宽带用户达4.92万户。大数据中心初具规模，京东云华东数据中心一期已投入使用，可提供30万台服务器安装和运营能力；二期项目已启动建设。</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eastAsia="方正黑体_GBK"/>
          <w:b w:val="0"/>
          <w:color w:val="000000" w:themeColor="text1"/>
          <w14:textFill>
            <w14:solidFill>
              <w14:schemeClr w14:val="tx1"/>
            </w14:solidFill>
          </w14:textFill>
        </w:rPr>
        <w:t>七、绿色发展步伐加快</w:t>
      </w:r>
    </w:p>
    <w:p>
      <w:pPr>
        <w:spacing w:line="580" w:lineRule="exact"/>
        <w:ind w:firstLine="640" w:firstLineChars="200"/>
        <w:rPr>
          <w:color w:val="000000" w:themeColor="text1"/>
          <w:sz w:val="32"/>
          <w:szCs w:val="32"/>
          <w:shd w:val="clear" w:color="auto" w:fill="FFFFFF"/>
          <w14:textFill>
            <w14:solidFill>
              <w14:schemeClr w14:val="tx1"/>
            </w14:solidFill>
          </w14:textFill>
        </w:rPr>
      </w:pP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十三五</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期间，全市持续深入推进工业绿色发展，淘汰低端落后产能，取得显著成效。</w:t>
      </w:r>
      <w:r>
        <w:rPr>
          <w:b/>
          <w:color w:val="000000" w:themeColor="text1"/>
          <w:sz w:val="32"/>
          <w:szCs w:val="32"/>
          <w14:textFill>
            <w14:solidFill>
              <w14:schemeClr w14:val="tx1"/>
            </w14:solidFill>
          </w14:textFill>
        </w:rPr>
        <w:t>一是工业绿色发展水平稳步提高</w:t>
      </w:r>
      <w:r>
        <w:rPr>
          <w:color w:val="000000" w:themeColor="text1"/>
          <w:sz w:val="32"/>
          <w:szCs w:val="32"/>
          <w14:textFill>
            <w14:solidFill>
              <w14:schemeClr w14:val="tx1"/>
            </w14:solidFill>
          </w14:textFill>
        </w:rPr>
        <w:t>。</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十三五</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以来，全市单位GDP能耗</w:t>
      </w:r>
      <w:r>
        <w:rPr>
          <w:rFonts w:hint="eastAsia"/>
          <w:color w:val="000000" w:themeColor="text1"/>
          <w:sz w:val="32"/>
          <w:szCs w:val="32"/>
          <w14:textFill>
            <w14:solidFill>
              <w14:schemeClr w14:val="tx1"/>
            </w14:solidFill>
          </w14:textFill>
        </w:rPr>
        <w:t>累计</w:t>
      </w:r>
      <w:r>
        <w:rPr>
          <w:color w:val="000000" w:themeColor="text1"/>
          <w:sz w:val="32"/>
          <w:szCs w:val="32"/>
          <w14:textFill>
            <w14:solidFill>
              <w14:schemeClr w14:val="tx1"/>
            </w14:solidFill>
          </w14:textFill>
        </w:rPr>
        <w:t>下降16.</w:t>
      </w:r>
      <w:r>
        <w:rPr>
          <w:rFonts w:hint="eastAsia"/>
          <w:color w:val="000000" w:themeColor="text1"/>
          <w:sz w:val="32"/>
          <w:szCs w:val="32"/>
          <w14:textFill>
            <w14:solidFill>
              <w14:schemeClr w14:val="tx1"/>
            </w14:solidFill>
          </w14:textFill>
        </w:rPr>
        <w:t>66</w:t>
      </w:r>
      <w:r>
        <w:rPr>
          <w:color w:val="000000" w:themeColor="text1"/>
          <w:sz w:val="32"/>
          <w:szCs w:val="32"/>
          <w14:textFill>
            <w14:solidFill>
              <w14:schemeClr w14:val="tx1"/>
            </w14:solidFill>
          </w14:textFill>
        </w:rPr>
        <w:t>%，顺利完成节能目标任务。累计实施绿色化改造项目</w:t>
      </w:r>
      <w:r>
        <w:rPr>
          <w:rFonts w:hint="eastAsia"/>
          <w:color w:val="000000" w:themeColor="text1"/>
          <w:sz w:val="32"/>
          <w:szCs w:val="32"/>
          <w14:textFill>
            <w14:solidFill>
              <w14:schemeClr w14:val="tx1"/>
            </w14:solidFill>
          </w14:textFill>
        </w:rPr>
        <w:t>273</w:t>
      </w:r>
      <w:r>
        <w:rPr>
          <w:color w:val="000000" w:themeColor="text1"/>
          <w:sz w:val="32"/>
          <w:szCs w:val="32"/>
          <w14:textFill>
            <w14:solidFill>
              <w14:schemeClr w14:val="tx1"/>
            </w14:solidFill>
          </w14:textFill>
        </w:rPr>
        <w:t>个，</w:t>
      </w:r>
      <w:r>
        <w:rPr>
          <w:rFonts w:hint="eastAsia"/>
          <w:color w:val="000000" w:themeColor="text1"/>
          <w:sz w:val="32"/>
          <w:szCs w:val="32"/>
          <w:shd w:val="clear" w:color="auto" w:fill="FFFFFF"/>
          <w14:textFill>
            <w14:solidFill>
              <w14:schemeClr w14:val="tx1"/>
            </w14:solidFill>
          </w14:textFill>
        </w:rPr>
        <w:t>完成投资63.94亿元，新增节能能力36.02万吨标准煤；</w:t>
      </w:r>
      <w:r>
        <w:rPr>
          <w:color w:val="000000" w:themeColor="text1"/>
          <w:sz w:val="32"/>
          <w:szCs w:val="32"/>
          <w14:textFill>
            <w14:solidFill>
              <w14:schemeClr w14:val="tx1"/>
            </w14:solidFill>
          </w14:textFill>
        </w:rPr>
        <w:t>累计建成国家级</w:t>
      </w:r>
      <w:r>
        <w:rPr>
          <w:rFonts w:hint="eastAsia"/>
          <w:color w:val="000000" w:themeColor="text1"/>
          <w:sz w:val="32"/>
          <w:szCs w:val="32"/>
          <w14:textFill>
            <w14:solidFill>
              <w14:schemeClr w14:val="tx1"/>
            </w14:solidFill>
          </w14:textFill>
        </w:rPr>
        <w:t>绿色制造</w:t>
      </w:r>
      <w:r>
        <w:rPr>
          <w:color w:val="000000" w:themeColor="text1"/>
          <w:sz w:val="32"/>
          <w:szCs w:val="32"/>
          <w14:textFill>
            <w14:solidFill>
              <w14:schemeClr w14:val="tx1"/>
            </w14:solidFill>
          </w14:textFill>
        </w:rPr>
        <w:t>示范</w:t>
      </w:r>
      <w:r>
        <w:rPr>
          <w:rFonts w:hint="eastAsia"/>
          <w:color w:val="000000" w:themeColor="text1"/>
          <w:sz w:val="32"/>
          <w:szCs w:val="32"/>
          <w14:textFill>
            <w14:solidFill>
              <w14:schemeClr w14:val="tx1"/>
            </w14:solidFill>
          </w14:textFill>
        </w:rPr>
        <w:t>10</w:t>
      </w:r>
      <w:r>
        <w:rPr>
          <w:color w:val="000000" w:themeColor="text1"/>
          <w:sz w:val="32"/>
          <w:szCs w:val="32"/>
          <w14:textFill>
            <w14:solidFill>
              <w14:schemeClr w14:val="tx1"/>
            </w14:solidFill>
          </w14:textFill>
        </w:rPr>
        <w:t>个，省级绿色工厂4户，市级绿色示范企业59户</w:t>
      </w:r>
      <w:r>
        <w:rPr>
          <w:rFonts w:hint="eastAsia"/>
          <w:color w:val="000000" w:themeColor="text1"/>
          <w:sz w:val="32"/>
          <w:szCs w:val="32"/>
          <w14:textFill>
            <w14:solidFill>
              <w14:schemeClr w14:val="tx1"/>
            </w14:solidFill>
          </w14:textFill>
        </w:rPr>
        <w:t>；</w:t>
      </w:r>
      <w:r>
        <w:rPr>
          <w:rFonts w:hint="eastAsia"/>
          <w:color w:val="000000" w:themeColor="text1"/>
          <w:sz w:val="32"/>
          <w:szCs w:val="32"/>
          <w:shd w:val="clear" w:color="auto" w:fill="FFFFFF"/>
          <w14:textFill>
            <w14:solidFill>
              <w14:schemeClr w14:val="tx1"/>
            </w14:solidFill>
          </w14:textFill>
        </w:rPr>
        <w:t>96户企业通过自愿性清洁生产审核验收，实施中高费方案263个，年节能2.54万吨标准煤、节水46.8万吨。</w:t>
      </w:r>
      <w:r>
        <w:rPr>
          <w:rFonts w:hint="eastAsia"/>
          <w:b/>
          <w:color w:val="000000" w:themeColor="text1"/>
          <w:sz w:val="32"/>
          <w:szCs w:val="32"/>
          <w:shd w:val="clear" w:color="auto" w:fill="FFFFFF"/>
          <w14:textFill>
            <w14:solidFill>
              <w14:schemeClr w14:val="tx1"/>
            </w14:solidFill>
          </w14:textFill>
        </w:rPr>
        <w:t>二是资源能源利用效率持续提高</w:t>
      </w:r>
      <w:r>
        <w:rPr>
          <w:rFonts w:hint="eastAsia"/>
          <w:color w:val="000000" w:themeColor="text1"/>
          <w:sz w:val="32"/>
          <w:szCs w:val="32"/>
          <w:shd w:val="clear" w:color="auto" w:fill="FFFFFF"/>
          <w14:textFill>
            <w14:solidFill>
              <w14:schemeClr w14:val="tx1"/>
            </w14:solidFill>
          </w14:textFill>
        </w:rPr>
        <w:t>。全市规模以上工业</w:t>
      </w:r>
      <w:r>
        <w:rPr>
          <w:color w:val="000000" w:themeColor="text1"/>
          <w:sz w:val="32"/>
          <w:szCs w:val="32"/>
          <w:shd w:val="clear" w:color="auto" w:fill="FFFFFF"/>
          <w14:textFill>
            <w14:solidFill>
              <w14:schemeClr w14:val="tx1"/>
            </w14:solidFill>
          </w14:textFill>
        </w:rPr>
        <w:t>单位工业增加值能耗</w:t>
      </w:r>
      <w:r>
        <w:rPr>
          <w:rFonts w:hint="eastAsia"/>
          <w:color w:val="000000" w:themeColor="text1"/>
          <w:sz w:val="32"/>
          <w:szCs w:val="32"/>
          <w:shd w:val="clear" w:color="auto" w:fill="FFFFFF"/>
          <w14:textFill>
            <w14:solidFill>
              <w14:schemeClr w14:val="tx1"/>
            </w14:solidFill>
          </w14:textFill>
        </w:rPr>
        <w:t>实现</w:t>
      </w:r>
      <w:r>
        <w:rPr>
          <w:color w:val="000000" w:themeColor="text1"/>
          <w:sz w:val="32"/>
          <w:szCs w:val="32"/>
          <w:shd w:val="clear" w:color="auto" w:fill="FFFFFF"/>
          <w14:textFill>
            <w14:solidFill>
              <w14:schemeClr w14:val="tx1"/>
            </w14:solidFill>
          </w14:textFill>
        </w:rPr>
        <w:t>下降2.54%</w:t>
      </w:r>
      <w:r>
        <w:rPr>
          <w:rFonts w:hint="eastAsia"/>
          <w:color w:val="000000" w:themeColor="text1"/>
          <w:sz w:val="32"/>
          <w:szCs w:val="32"/>
          <w:shd w:val="clear" w:color="auto" w:fill="FFFFFF"/>
          <w14:textFill>
            <w14:solidFill>
              <w14:schemeClr w14:val="tx1"/>
            </w14:solidFill>
          </w14:textFill>
        </w:rPr>
        <w:t>。合成氨、平板玻璃、日用玻璃等主要耗能行业的产品单耗水平明显下降。蒸汽、天然气、电等清洁能源占比逐步提升。2020年，规模以上工业单位工业增加值用水量13.6立方米/万元，五年累计下降27.3%，</w:t>
      </w:r>
      <w:r>
        <w:rPr>
          <w:color w:val="000000" w:themeColor="text1"/>
          <w:sz w:val="32"/>
          <w:szCs w:val="32"/>
          <w:shd w:val="clear" w:color="auto" w:fill="FFFFFF"/>
          <w14:textFill>
            <w14:solidFill>
              <w14:schemeClr w14:val="tx1"/>
            </w14:solidFill>
          </w14:textFill>
        </w:rPr>
        <w:t>工业固体废弃物综合利用率稳定在90%左右</w:t>
      </w:r>
      <w:r>
        <w:rPr>
          <w:rFonts w:hint="eastAsia"/>
          <w:color w:val="000000" w:themeColor="text1"/>
          <w:sz w:val="32"/>
          <w:szCs w:val="32"/>
          <w:shd w:val="clear" w:color="auto" w:fill="FFFFFF"/>
          <w14:textFill>
            <w14:solidFill>
              <w14:schemeClr w14:val="tx1"/>
            </w14:solidFill>
          </w14:textFill>
        </w:rPr>
        <w:t>。</w:t>
      </w:r>
      <w:r>
        <w:rPr>
          <w:rFonts w:hint="eastAsia"/>
          <w:b/>
          <w:color w:val="000000" w:themeColor="text1"/>
          <w:sz w:val="32"/>
          <w:szCs w:val="32"/>
          <w14:textFill>
            <w14:solidFill>
              <w14:schemeClr w14:val="tx1"/>
            </w14:solidFill>
          </w14:textFill>
        </w:rPr>
        <w:t>三</w:t>
      </w:r>
      <w:r>
        <w:rPr>
          <w:b/>
          <w:color w:val="000000" w:themeColor="text1"/>
          <w:sz w:val="32"/>
          <w:szCs w:val="32"/>
          <w14:textFill>
            <w14:solidFill>
              <w14:schemeClr w14:val="tx1"/>
            </w14:solidFill>
          </w14:textFill>
        </w:rPr>
        <w:t>是积极淘汰低端落后产能</w:t>
      </w:r>
      <w:r>
        <w:rPr>
          <w:color w:val="000000" w:themeColor="text1"/>
          <w:sz w:val="32"/>
          <w:szCs w:val="32"/>
          <w14:textFill>
            <w14:solidFill>
              <w14:schemeClr w14:val="tx1"/>
            </w14:solidFill>
          </w14:textFill>
        </w:rPr>
        <w:t>。</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十三五</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以来，全市累计淘汰平板玻璃产能300万重量箱、纺织1.3万吨、铅酸蓄电池139万千伏安，落后工艺98项，落后设备11099台套；狠抓工业安全生产，持续推进化工行业专项整治，累计关闭化工企业9</w:t>
      </w:r>
      <w:r>
        <w:rPr>
          <w:rFonts w:hint="eastAsia"/>
          <w:color w:val="000000" w:themeColor="text1"/>
          <w:sz w:val="32"/>
          <w:szCs w:val="32"/>
          <w14:textFill>
            <w14:solidFill>
              <w14:schemeClr w14:val="tx1"/>
            </w14:solidFill>
          </w14:textFill>
        </w:rPr>
        <w:t>4</w:t>
      </w:r>
      <w:r>
        <w:rPr>
          <w:color w:val="000000" w:themeColor="text1"/>
          <w:sz w:val="32"/>
          <w:szCs w:val="32"/>
          <w14:textFill>
            <w14:solidFill>
              <w14:schemeClr w14:val="tx1"/>
            </w14:solidFill>
          </w14:textFill>
        </w:rPr>
        <w:t>户。</w:t>
      </w:r>
      <w:r>
        <w:rPr>
          <w:rFonts w:hint="eastAsia"/>
          <w:color w:val="000000" w:themeColor="text1"/>
          <w:sz w:val="32"/>
          <w:szCs w:val="32"/>
          <w:shd w:val="clear" w:color="auto" w:fill="FFFFFF"/>
          <w14:textFill>
            <w14:solidFill>
              <w14:schemeClr w14:val="tx1"/>
            </w14:solidFill>
          </w14:textFill>
        </w:rPr>
        <w:t>大力淘汰高耗能、高污染、低产出企业，累计关停退出木材加工和家具制造企业2548户、“散乱污”企业1464户。</w:t>
      </w:r>
    </w:p>
    <w:p>
      <w:pPr>
        <w:spacing w:line="580" w:lineRule="exact"/>
        <w:rPr>
          <w:rFonts w:eastAsia="方正楷体_GBK"/>
          <w:b/>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cs="Times New Roman"/>
          <w:b w:val="0"/>
          <w:color w:val="000000" w:themeColor="text1"/>
          <w14:textFill>
            <w14:solidFill>
              <w14:schemeClr w14:val="tx1"/>
            </w14:solidFill>
          </w14:textFill>
        </w:rPr>
      </w:pPr>
      <w:bookmarkStart w:id="4" w:name="_Toc75019402"/>
      <w:bookmarkStart w:id="5" w:name="_Toc19449"/>
      <w:r>
        <w:rPr>
          <w:rFonts w:ascii="Times New Roman" w:hAnsi="Times New Roman" w:eastAsia="方正楷体_GBK" w:cs="Times New Roman"/>
          <w:b w:val="0"/>
          <w:color w:val="000000" w:themeColor="text1"/>
          <w14:textFill>
            <w14:solidFill>
              <w14:schemeClr w14:val="tx1"/>
            </w14:solidFill>
          </w14:textFill>
        </w:rPr>
        <w:t xml:space="preserve">第二节  </w:t>
      </w:r>
      <w:r>
        <w:rPr>
          <w:rFonts w:hint="eastAsia" w:ascii="Times New Roman" w:hAnsi="Times New Roman" w:eastAsia="方正楷体_GBK" w:cs="Times New Roman"/>
          <w:b w:val="0"/>
          <w:color w:val="000000" w:themeColor="text1"/>
          <w14:textFill>
            <w14:solidFill>
              <w14:schemeClr w14:val="tx1"/>
            </w14:solidFill>
          </w14:textFill>
        </w:rPr>
        <w:t>“</w:t>
      </w:r>
      <w:r>
        <w:rPr>
          <w:rFonts w:ascii="Times New Roman" w:hAnsi="Times New Roman" w:eastAsia="方正楷体_GBK" w:cs="Times New Roman"/>
          <w:b w:val="0"/>
          <w:color w:val="000000" w:themeColor="text1"/>
          <w14:textFill>
            <w14:solidFill>
              <w14:schemeClr w14:val="tx1"/>
            </w14:solidFill>
          </w14:textFill>
        </w:rPr>
        <w:t>十三五</w:t>
      </w:r>
      <w:r>
        <w:rPr>
          <w:rFonts w:hint="eastAsia" w:ascii="Times New Roman" w:hAnsi="Times New Roman" w:eastAsia="方正楷体_GBK" w:cs="Times New Roman"/>
          <w:b w:val="0"/>
          <w:color w:val="000000" w:themeColor="text1"/>
          <w14:textFill>
            <w14:solidFill>
              <w14:schemeClr w14:val="tx1"/>
            </w14:solidFill>
          </w14:textFill>
        </w:rPr>
        <w:t>”</w:t>
      </w:r>
      <w:r>
        <w:rPr>
          <w:rFonts w:ascii="Times New Roman" w:hAnsi="Times New Roman" w:eastAsia="方正楷体_GBK" w:cs="Times New Roman"/>
          <w:b w:val="0"/>
          <w:color w:val="000000" w:themeColor="text1"/>
          <w14:textFill>
            <w14:solidFill>
              <w14:schemeClr w14:val="tx1"/>
            </w14:solidFill>
          </w14:textFill>
        </w:rPr>
        <w:t>工业经济发展存在问题</w:t>
      </w:r>
      <w:bookmarkEnd w:id="4"/>
      <w:bookmarkEnd w:id="5"/>
    </w:p>
    <w:p>
      <w:pPr>
        <w:spacing w:line="580" w:lineRule="exact"/>
        <w:rPr>
          <w:rFonts w:eastAsia="方正楷体_GBK"/>
          <w:b/>
          <w:color w:val="000000" w:themeColor="text1"/>
          <w:sz w:val="32"/>
          <w:szCs w:val="32"/>
          <w14:textFill>
            <w14:solidFill>
              <w14:schemeClr w14:val="tx1"/>
            </w14:solidFill>
          </w14:textFill>
        </w:rPr>
      </w:pP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十三五</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时期，全市工业经济发展取得了显著成绩，产量规模和质态效益稳步提升，工业发展迈上了新的台阶。</w:t>
      </w:r>
      <w:r>
        <w:rPr>
          <w:rFonts w:hint="eastAsia"/>
          <w:color w:val="000000" w:themeColor="text1"/>
          <w:sz w:val="32"/>
          <w:szCs w:val="32"/>
          <w14:textFill>
            <w14:solidFill>
              <w14:schemeClr w14:val="tx1"/>
            </w14:solidFill>
          </w14:textFill>
        </w:rPr>
        <w:t>但综合来看，宿迁目前处于工业化中前期阶段，产业基础较为薄弱，工业发展水平与苏南、苏中相比还有一定差距，</w:t>
      </w:r>
      <w:r>
        <w:rPr>
          <w:color w:val="000000" w:themeColor="text1"/>
          <w:sz w:val="32"/>
          <w:szCs w:val="32"/>
          <w14:textFill>
            <w14:solidFill>
              <w14:schemeClr w14:val="tx1"/>
            </w14:solidFill>
          </w14:textFill>
        </w:rPr>
        <w:t>面临着总量增长与结构升级的双重压力</w:t>
      </w:r>
      <w:r>
        <w:rPr>
          <w:rFonts w:hint="eastAsia"/>
          <w:color w:val="000000" w:themeColor="text1"/>
          <w:sz w:val="32"/>
          <w:szCs w:val="32"/>
          <w14:textFill>
            <w14:solidFill>
              <w14:schemeClr w14:val="tx1"/>
            </w14:solidFill>
          </w14:textFill>
        </w:rPr>
        <w:t>。</w:t>
      </w:r>
    </w:p>
    <w:p>
      <w:pPr>
        <w:spacing w:before="78" w:beforeLines="25" w:line="580" w:lineRule="exact"/>
        <w:jc w:val="center"/>
        <w:rPr>
          <w:rFonts w:eastAsia="方正黑体_GBK"/>
          <w:color w:val="000000" w:themeColor="text1"/>
          <w:sz w:val="28"/>
          <w:szCs w:val="30"/>
          <w14:textFill>
            <w14:solidFill>
              <w14:schemeClr w14:val="tx1"/>
            </w14:solidFill>
          </w14:textFill>
        </w:rPr>
      </w:pPr>
      <w:r>
        <w:rPr>
          <w:rFonts w:eastAsia="方正黑体_GBK"/>
          <w:color w:val="000000" w:themeColor="text1"/>
          <w:sz w:val="28"/>
          <w:szCs w:val="30"/>
          <w14:textFill>
            <w14:solidFill>
              <w14:schemeClr w14:val="tx1"/>
            </w14:solidFill>
          </w14:textFill>
        </w:rPr>
        <w:t>宿迁与省内部分设区市工业化发展阶段比较</w:t>
      </w:r>
      <w:r>
        <w:rPr>
          <w:rFonts w:hint="eastAsia" w:eastAsia="方正黑体_GBK"/>
          <w:color w:val="000000" w:themeColor="text1"/>
          <w:sz w:val="28"/>
          <w:szCs w:val="30"/>
          <w14:textFill>
            <w14:solidFill>
              <w14:schemeClr w14:val="tx1"/>
            </w14:solidFill>
          </w14:textFill>
        </w:rPr>
        <w:t>（表四）</w:t>
      </w:r>
    </w:p>
    <w:tbl>
      <w:tblPr>
        <w:tblStyle w:val="25"/>
        <w:tblW w:w="9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2"/>
        <w:gridCol w:w="795"/>
        <w:gridCol w:w="887"/>
        <w:gridCol w:w="887"/>
        <w:gridCol w:w="887"/>
        <w:gridCol w:w="887"/>
        <w:gridCol w:w="922"/>
        <w:gridCol w:w="923"/>
        <w:gridCol w:w="922"/>
        <w:gridCol w:w="923"/>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1" w:hRule="exact"/>
          <w:tblHeader/>
          <w:jc w:val="center"/>
        </w:trPr>
        <w:tc>
          <w:tcPr>
            <w:tcW w:w="872" w:type="dxa"/>
            <w:vMerge w:val="restart"/>
            <w:shd w:val="clear" w:color="auto" w:fill="FFFFFF" w:themeFill="background1"/>
            <w:vAlign w:val="center"/>
          </w:tcPr>
          <w:p>
            <w:pPr>
              <w:spacing w:line="360" w:lineRule="exact"/>
              <w:ind w:right="-20"/>
              <w:jc w:val="center"/>
              <w:rPr>
                <w:rFonts w:eastAsia="方正黑体_GBK"/>
                <w:color w:val="000000" w:themeColor="text1"/>
                <w:kern w:val="0"/>
                <w:sz w:val="18"/>
                <w:szCs w:val="21"/>
                <w14:textFill>
                  <w14:solidFill>
                    <w14:schemeClr w14:val="tx1"/>
                  </w14:solidFill>
                </w14:textFill>
              </w:rPr>
            </w:pPr>
            <w:r>
              <w:rPr>
                <w:rFonts w:hint="eastAsia" w:eastAsia="方正黑体_GBK"/>
                <w:color w:val="000000" w:themeColor="text1"/>
                <w:kern w:val="0"/>
                <w:sz w:val="18"/>
                <w:szCs w:val="21"/>
                <w14:textFill>
                  <w14:solidFill>
                    <w14:schemeClr w14:val="tx1"/>
                  </w14:solidFill>
                </w14:textFill>
              </w:rPr>
              <w:t>指标</w:t>
            </w:r>
          </w:p>
        </w:tc>
        <w:tc>
          <w:tcPr>
            <w:tcW w:w="795" w:type="dxa"/>
            <w:vMerge w:val="restart"/>
            <w:shd w:val="clear" w:color="auto" w:fill="FFFFFF" w:themeFill="background1"/>
            <w:vAlign w:val="center"/>
          </w:tcPr>
          <w:p>
            <w:pPr>
              <w:spacing w:line="360" w:lineRule="exact"/>
              <w:ind w:right="11"/>
              <w:jc w:val="center"/>
              <w:rPr>
                <w:rFonts w:eastAsia="方正黑体_GBK"/>
                <w:color w:val="000000" w:themeColor="text1"/>
                <w:kern w:val="0"/>
                <w:sz w:val="18"/>
                <w:szCs w:val="21"/>
                <w14:textFill>
                  <w14:solidFill>
                    <w14:schemeClr w14:val="tx1"/>
                  </w14:solidFill>
                </w14:textFill>
              </w:rPr>
            </w:pPr>
            <w:r>
              <w:rPr>
                <w:rFonts w:hint="eastAsia" w:eastAsia="方正黑体_GBK"/>
                <w:color w:val="000000" w:themeColor="text1"/>
                <w:kern w:val="0"/>
                <w:sz w:val="18"/>
                <w:szCs w:val="21"/>
                <w14:textFill>
                  <w14:solidFill>
                    <w14:schemeClr w14:val="tx1"/>
                  </w14:solidFill>
                </w14:textFill>
              </w:rPr>
              <w:t>前工业化时期</w:t>
            </w:r>
          </w:p>
        </w:tc>
        <w:tc>
          <w:tcPr>
            <w:tcW w:w="2661" w:type="dxa"/>
            <w:gridSpan w:val="3"/>
            <w:tcBorders>
              <w:bottom w:val="single" w:color="auto" w:sz="4" w:space="0"/>
            </w:tcBorders>
            <w:shd w:val="clear" w:color="auto" w:fill="FFFFFF" w:themeFill="background1"/>
            <w:vAlign w:val="center"/>
          </w:tcPr>
          <w:p>
            <w:pPr>
              <w:ind w:right="-20"/>
              <w:jc w:val="center"/>
              <w:rPr>
                <w:rFonts w:eastAsia="方正黑体_GBK"/>
                <w:color w:val="000000" w:themeColor="text1"/>
                <w:kern w:val="0"/>
                <w:sz w:val="18"/>
                <w:szCs w:val="21"/>
                <w14:textFill>
                  <w14:solidFill>
                    <w14:schemeClr w14:val="tx1"/>
                  </w14:solidFill>
                </w14:textFill>
              </w:rPr>
            </w:pPr>
            <w:r>
              <w:rPr>
                <w:rFonts w:hint="eastAsia" w:eastAsia="方正黑体_GBK"/>
                <w:color w:val="000000" w:themeColor="text1"/>
                <w:kern w:val="0"/>
                <w:sz w:val="18"/>
                <w:szCs w:val="21"/>
                <w14:textFill>
                  <w14:solidFill>
                    <w14:schemeClr w14:val="tx1"/>
                  </w14:solidFill>
                </w14:textFill>
              </w:rPr>
              <w:t>工业化实现阶段</w:t>
            </w:r>
          </w:p>
        </w:tc>
        <w:tc>
          <w:tcPr>
            <w:tcW w:w="887" w:type="dxa"/>
            <w:vMerge w:val="restart"/>
            <w:shd w:val="clear" w:color="auto" w:fill="FFFFFF" w:themeFill="background1"/>
            <w:vAlign w:val="center"/>
          </w:tcPr>
          <w:p>
            <w:pPr>
              <w:spacing w:line="360" w:lineRule="exact"/>
              <w:ind w:right="-20"/>
              <w:jc w:val="center"/>
              <w:rPr>
                <w:rFonts w:eastAsia="方正黑体_GBK"/>
                <w:color w:val="000000" w:themeColor="text1"/>
                <w:kern w:val="0"/>
                <w:sz w:val="18"/>
                <w:szCs w:val="21"/>
                <w14:textFill>
                  <w14:solidFill>
                    <w14:schemeClr w14:val="tx1"/>
                  </w14:solidFill>
                </w14:textFill>
              </w:rPr>
            </w:pPr>
            <w:r>
              <w:rPr>
                <w:rFonts w:hint="eastAsia" w:eastAsia="方正黑体_GBK"/>
                <w:color w:val="000000" w:themeColor="text1"/>
                <w:kern w:val="0"/>
                <w:sz w:val="18"/>
                <w:szCs w:val="21"/>
                <w14:textFill>
                  <w14:solidFill>
                    <w14:schemeClr w14:val="tx1"/>
                  </w14:solidFill>
                </w14:textFill>
              </w:rPr>
              <w:t>后工业化</w:t>
            </w:r>
          </w:p>
          <w:p>
            <w:pPr>
              <w:spacing w:line="360" w:lineRule="exact"/>
              <w:ind w:right="-20"/>
              <w:jc w:val="center"/>
              <w:rPr>
                <w:rFonts w:eastAsia="方正黑体_GBK"/>
                <w:color w:val="000000" w:themeColor="text1"/>
                <w:kern w:val="0"/>
                <w:sz w:val="18"/>
                <w:szCs w:val="21"/>
                <w14:textFill>
                  <w14:solidFill>
                    <w14:schemeClr w14:val="tx1"/>
                  </w14:solidFill>
                </w14:textFill>
              </w:rPr>
            </w:pPr>
            <w:r>
              <w:rPr>
                <w:rFonts w:hint="eastAsia" w:eastAsia="方正黑体_GBK"/>
                <w:color w:val="000000" w:themeColor="text1"/>
                <w:kern w:val="0"/>
                <w:sz w:val="18"/>
                <w:szCs w:val="21"/>
                <w14:textFill>
                  <w14:solidFill>
                    <w14:schemeClr w14:val="tx1"/>
                  </w14:solidFill>
                </w14:textFill>
              </w:rPr>
              <w:t>时期</w:t>
            </w:r>
          </w:p>
        </w:tc>
        <w:tc>
          <w:tcPr>
            <w:tcW w:w="922" w:type="dxa"/>
            <w:vMerge w:val="restart"/>
            <w:shd w:val="clear" w:color="auto" w:fill="FFFFFF" w:themeFill="background1"/>
            <w:vAlign w:val="center"/>
          </w:tcPr>
          <w:p>
            <w:pPr>
              <w:spacing w:line="360" w:lineRule="exact"/>
              <w:ind w:right="-20"/>
              <w:jc w:val="center"/>
              <w:rPr>
                <w:rFonts w:eastAsia="方正黑体_GBK"/>
                <w:color w:val="000000" w:themeColor="text1"/>
                <w:kern w:val="0"/>
                <w:sz w:val="18"/>
                <w:szCs w:val="21"/>
                <w14:textFill>
                  <w14:solidFill>
                    <w14:schemeClr w14:val="tx1"/>
                  </w14:solidFill>
                </w14:textFill>
              </w:rPr>
            </w:pPr>
            <w:r>
              <w:rPr>
                <w:rFonts w:hint="eastAsia" w:eastAsia="方正黑体_GBK"/>
                <w:color w:val="000000" w:themeColor="text1"/>
                <w:kern w:val="0"/>
                <w:sz w:val="18"/>
                <w:szCs w:val="21"/>
                <w14:textFill>
                  <w14:solidFill>
                    <w14:schemeClr w14:val="tx1"/>
                  </w14:solidFill>
                </w14:textFill>
              </w:rPr>
              <w:t>宿迁</w:t>
            </w:r>
          </w:p>
        </w:tc>
        <w:tc>
          <w:tcPr>
            <w:tcW w:w="923" w:type="dxa"/>
            <w:vMerge w:val="restart"/>
            <w:shd w:val="clear" w:color="auto" w:fill="FFFFFF" w:themeFill="background1"/>
            <w:vAlign w:val="center"/>
          </w:tcPr>
          <w:p>
            <w:pPr>
              <w:spacing w:line="360" w:lineRule="exact"/>
              <w:ind w:right="-20"/>
              <w:jc w:val="center"/>
              <w:rPr>
                <w:rFonts w:eastAsia="方正黑体_GBK"/>
                <w:color w:val="000000" w:themeColor="text1"/>
                <w:kern w:val="0"/>
                <w:sz w:val="18"/>
                <w:szCs w:val="21"/>
                <w14:textFill>
                  <w14:solidFill>
                    <w14:schemeClr w14:val="tx1"/>
                  </w14:solidFill>
                </w14:textFill>
              </w:rPr>
            </w:pPr>
            <w:r>
              <w:rPr>
                <w:rFonts w:hint="eastAsia" w:eastAsia="方正黑体_GBK"/>
                <w:color w:val="000000" w:themeColor="text1"/>
                <w:kern w:val="0"/>
                <w:sz w:val="18"/>
                <w:szCs w:val="21"/>
                <w14:textFill>
                  <w14:solidFill>
                    <w14:schemeClr w14:val="tx1"/>
                  </w14:solidFill>
                </w14:textFill>
              </w:rPr>
              <w:t>盐城</w:t>
            </w:r>
          </w:p>
        </w:tc>
        <w:tc>
          <w:tcPr>
            <w:tcW w:w="922" w:type="dxa"/>
            <w:vMerge w:val="restart"/>
            <w:shd w:val="clear" w:color="auto" w:fill="FFFFFF" w:themeFill="background1"/>
            <w:vAlign w:val="center"/>
          </w:tcPr>
          <w:p>
            <w:pPr>
              <w:spacing w:line="360" w:lineRule="exact"/>
              <w:ind w:right="-20"/>
              <w:jc w:val="center"/>
              <w:rPr>
                <w:rFonts w:eastAsia="方正黑体_GBK"/>
                <w:color w:val="000000" w:themeColor="text1"/>
                <w:kern w:val="0"/>
                <w:sz w:val="18"/>
                <w:szCs w:val="21"/>
                <w14:textFill>
                  <w14:solidFill>
                    <w14:schemeClr w14:val="tx1"/>
                  </w14:solidFill>
                </w14:textFill>
              </w:rPr>
            </w:pPr>
            <w:r>
              <w:rPr>
                <w:rFonts w:hint="eastAsia" w:eastAsia="方正黑体_GBK"/>
                <w:color w:val="000000" w:themeColor="text1"/>
                <w:kern w:val="0"/>
                <w:sz w:val="18"/>
                <w:szCs w:val="21"/>
                <w14:textFill>
                  <w14:solidFill>
                    <w14:schemeClr w14:val="tx1"/>
                  </w14:solidFill>
                </w14:textFill>
              </w:rPr>
              <w:t>连云港</w:t>
            </w:r>
          </w:p>
        </w:tc>
        <w:tc>
          <w:tcPr>
            <w:tcW w:w="923" w:type="dxa"/>
            <w:vMerge w:val="restart"/>
            <w:shd w:val="clear" w:color="auto" w:fill="FFFFFF" w:themeFill="background1"/>
            <w:vAlign w:val="center"/>
          </w:tcPr>
          <w:p>
            <w:pPr>
              <w:spacing w:line="360" w:lineRule="exact"/>
              <w:ind w:right="-20"/>
              <w:jc w:val="center"/>
              <w:rPr>
                <w:rFonts w:eastAsia="方正黑体_GBK"/>
                <w:color w:val="000000" w:themeColor="text1"/>
                <w:kern w:val="0"/>
                <w:sz w:val="18"/>
                <w:szCs w:val="21"/>
                <w14:textFill>
                  <w14:solidFill>
                    <w14:schemeClr w14:val="tx1"/>
                  </w14:solidFill>
                </w14:textFill>
              </w:rPr>
            </w:pPr>
            <w:r>
              <w:rPr>
                <w:rFonts w:hint="eastAsia" w:eastAsia="方正黑体_GBK"/>
                <w:color w:val="000000" w:themeColor="text1"/>
                <w:kern w:val="0"/>
                <w:sz w:val="18"/>
                <w:szCs w:val="21"/>
                <w14:textFill>
                  <w14:solidFill>
                    <w14:schemeClr w14:val="tx1"/>
                  </w14:solidFill>
                </w14:textFill>
              </w:rPr>
              <w:t>南通</w:t>
            </w:r>
          </w:p>
        </w:tc>
        <w:tc>
          <w:tcPr>
            <w:tcW w:w="923" w:type="dxa"/>
            <w:vMerge w:val="restart"/>
            <w:shd w:val="clear" w:color="auto" w:fill="FFFFFF" w:themeFill="background1"/>
            <w:vAlign w:val="center"/>
          </w:tcPr>
          <w:p>
            <w:pPr>
              <w:spacing w:line="360" w:lineRule="exact"/>
              <w:ind w:right="-20"/>
              <w:jc w:val="center"/>
              <w:rPr>
                <w:rFonts w:eastAsia="方正黑体_GBK"/>
                <w:color w:val="000000" w:themeColor="text1"/>
                <w:kern w:val="0"/>
                <w:sz w:val="18"/>
                <w:szCs w:val="21"/>
                <w14:textFill>
                  <w14:solidFill>
                    <w14:schemeClr w14:val="tx1"/>
                  </w14:solidFill>
                </w14:textFill>
              </w:rPr>
            </w:pPr>
            <w:r>
              <w:rPr>
                <w:rFonts w:hint="eastAsia" w:eastAsia="方正黑体_GBK"/>
                <w:color w:val="000000" w:themeColor="text1"/>
                <w:kern w:val="0"/>
                <w:sz w:val="18"/>
                <w:szCs w:val="21"/>
                <w14:textFill>
                  <w14:solidFill>
                    <w14:schemeClr w14:val="tx1"/>
                  </w14:solidFill>
                </w14:textFill>
              </w:rPr>
              <w:t>无锡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8" w:hRule="exact"/>
          <w:tblHeader/>
          <w:jc w:val="center"/>
        </w:trPr>
        <w:tc>
          <w:tcPr>
            <w:tcW w:w="872" w:type="dxa"/>
            <w:vMerge w:val="continue"/>
            <w:shd w:val="clear" w:color="auto" w:fill="D1DCEC"/>
            <w:vAlign w:val="center"/>
          </w:tcPr>
          <w:p>
            <w:pPr>
              <w:spacing w:line="360" w:lineRule="exact"/>
              <w:jc w:val="center"/>
              <w:rPr>
                <w:rFonts w:eastAsia="宋体"/>
                <w:color w:val="000000" w:themeColor="text1"/>
                <w:kern w:val="0"/>
                <w:sz w:val="22"/>
                <w:lang w:eastAsia="en-US"/>
                <w14:textFill>
                  <w14:solidFill>
                    <w14:schemeClr w14:val="tx1"/>
                  </w14:solidFill>
                </w14:textFill>
              </w:rPr>
            </w:pPr>
          </w:p>
        </w:tc>
        <w:tc>
          <w:tcPr>
            <w:tcW w:w="795" w:type="dxa"/>
            <w:vMerge w:val="continue"/>
            <w:shd w:val="clear" w:color="auto" w:fill="D1DCEC"/>
            <w:vAlign w:val="center"/>
          </w:tcPr>
          <w:p>
            <w:pPr>
              <w:spacing w:line="360" w:lineRule="exact"/>
              <w:jc w:val="center"/>
              <w:rPr>
                <w:rFonts w:eastAsia="宋体"/>
                <w:color w:val="000000" w:themeColor="text1"/>
                <w:kern w:val="0"/>
                <w:sz w:val="22"/>
                <w:lang w:eastAsia="en-US"/>
                <w14:textFill>
                  <w14:solidFill>
                    <w14:schemeClr w14:val="tx1"/>
                  </w14:solidFill>
                </w14:textFill>
              </w:rPr>
            </w:pPr>
          </w:p>
        </w:tc>
        <w:tc>
          <w:tcPr>
            <w:tcW w:w="887" w:type="dxa"/>
            <w:shd w:val="clear" w:color="auto" w:fill="FFFFFF" w:themeFill="background1"/>
            <w:vAlign w:val="center"/>
          </w:tcPr>
          <w:p>
            <w:pPr>
              <w:spacing w:line="360" w:lineRule="exact"/>
              <w:ind w:right="-20"/>
              <w:jc w:val="center"/>
              <w:rPr>
                <w:rFonts w:eastAsia="方正黑体_GBK"/>
                <w:color w:val="000000" w:themeColor="text1"/>
                <w:kern w:val="0"/>
                <w:sz w:val="18"/>
                <w:szCs w:val="21"/>
                <w14:textFill>
                  <w14:solidFill>
                    <w14:schemeClr w14:val="tx1"/>
                  </w14:solidFill>
                </w14:textFill>
              </w:rPr>
            </w:pPr>
            <w:r>
              <w:rPr>
                <w:rFonts w:hint="eastAsia" w:eastAsia="方正黑体_GBK"/>
                <w:color w:val="000000" w:themeColor="text1"/>
                <w:kern w:val="0"/>
                <w:sz w:val="18"/>
                <w:szCs w:val="21"/>
                <w14:textFill>
                  <w14:solidFill>
                    <w14:schemeClr w14:val="tx1"/>
                  </w14:solidFill>
                </w14:textFill>
              </w:rPr>
              <w:t>初期</w:t>
            </w:r>
          </w:p>
        </w:tc>
        <w:tc>
          <w:tcPr>
            <w:tcW w:w="887" w:type="dxa"/>
            <w:shd w:val="clear" w:color="auto" w:fill="FFFFFF" w:themeFill="background1"/>
            <w:vAlign w:val="center"/>
          </w:tcPr>
          <w:p>
            <w:pPr>
              <w:spacing w:line="360" w:lineRule="exact"/>
              <w:ind w:right="-20"/>
              <w:jc w:val="center"/>
              <w:rPr>
                <w:rFonts w:eastAsia="方正黑体_GBK"/>
                <w:color w:val="000000" w:themeColor="text1"/>
                <w:kern w:val="0"/>
                <w:sz w:val="18"/>
                <w:szCs w:val="21"/>
                <w14:textFill>
                  <w14:solidFill>
                    <w14:schemeClr w14:val="tx1"/>
                  </w14:solidFill>
                </w14:textFill>
              </w:rPr>
            </w:pPr>
            <w:r>
              <w:rPr>
                <w:rFonts w:hint="eastAsia" w:eastAsia="方正黑体_GBK"/>
                <w:color w:val="000000" w:themeColor="text1"/>
                <w:kern w:val="0"/>
                <w:sz w:val="18"/>
                <w:szCs w:val="21"/>
                <w14:textFill>
                  <w14:solidFill>
                    <w14:schemeClr w14:val="tx1"/>
                  </w14:solidFill>
                </w14:textFill>
              </w:rPr>
              <w:t>中期</w:t>
            </w:r>
          </w:p>
        </w:tc>
        <w:tc>
          <w:tcPr>
            <w:tcW w:w="887" w:type="dxa"/>
            <w:shd w:val="clear" w:color="auto" w:fill="FFFFFF" w:themeFill="background1"/>
            <w:vAlign w:val="center"/>
          </w:tcPr>
          <w:p>
            <w:pPr>
              <w:spacing w:line="360" w:lineRule="exact"/>
              <w:ind w:right="-20"/>
              <w:jc w:val="center"/>
              <w:rPr>
                <w:rFonts w:eastAsia="方正黑体_GBK"/>
                <w:color w:val="000000" w:themeColor="text1"/>
                <w:kern w:val="0"/>
                <w:sz w:val="18"/>
                <w:szCs w:val="21"/>
                <w14:textFill>
                  <w14:solidFill>
                    <w14:schemeClr w14:val="tx1"/>
                  </w14:solidFill>
                </w14:textFill>
              </w:rPr>
            </w:pPr>
            <w:r>
              <w:rPr>
                <w:rFonts w:hint="eastAsia" w:eastAsia="方正黑体_GBK"/>
                <w:color w:val="000000" w:themeColor="text1"/>
                <w:kern w:val="0"/>
                <w:sz w:val="18"/>
                <w:szCs w:val="21"/>
                <w14:textFill>
                  <w14:solidFill>
                    <w14:schemeClr w14:val="tx1"/>
                  </w14:solidFill>
                </w14:textFill>
              </w:rPr>
              <w:t>后期</w:t>
            </w:r>
          </w:p>
        </w:tc>
        <w:tc>
          <w:tcPr>
            <w:tcW w:w="887" w:type="dxa"/>
            <w:vMerge w:val="continue"/>
            <w:shd w:val="clear" w:color="auto" w:fill="D1DCEC"/>
            <w:vAlign w:val="center"/>
          </w:tcPr>
          <w:p>
            <w:pPr>
              <w:spacing w:line="360" w:lineRule="exact"/>
              <w:jc w:val="center"/>
              <w:rPr>
                <w:rFonts w:eastAsia="宋体"/>
                <w:color w:val="000000" w:themeColor="text1"/>
                <w:kern w:val="0"/>
                <w:sz w:val="22"/>
                <w:lang w:eastAsia="en-US"/>
                <w14:textFill>
                  <w14:solidFill>
                    <w14:schemeClr w14:val="tx1"/>
                  </w14:solidFill>
                </w14:textFill>
              </w:rPr>
            </w:pPr>
          </w:p>
        </w:tc>
        <w:tc>
          <w:tcPr>
            <w:tcW w:w="922" w:type="dxa"/>
            <w:vMerge w:val="continue"/>
            <w:shd w:val="clear" w:color="auto" w:fill="D1DCEC"/>
          </w:tcPr>
          <w:p>
            <w:pPr>
              <w:spacing w:line="360" w:lineRule="exact"/>
              <w:jc w:val="center"/>
              <w:rPr>
                <w:rFonts w:eastAsia="宋体"/>
                <w:color w:val="000000" w:themeColor="text1"/>
                <w:kern w:val="0"/>
                <w:sz w:val="22"/>
                <w:lang w:eastAsia="en-US"/>
                <w14:textFill>
                  <w14:solidFill>
                    <w14:schemeClr w14:val="tx1"/>
                  </w14:solidFill>
                </w14:textFill>
              </w:rPr>
            </w:pPr>
          </w:p>
        </w:tc>
        <w:tc>
          <w:tcPr>
            <w:tcW w:w="923" w:type="dxa"/>
            <w:vMerge w:val="continue"/>
            <w:shd w:val="clear" w:color="auto" w:fill="D1DCEC"/>
            <w:vAlign w:val="center"/>
          </w:tcPr>
          <w:p>
            <w:pPr>
              <w:spacing w:line="360" w:lineRule="exact"/>
              <w:jc w:val="center"/>
              <w:rPr>
                <w:rFonts w:eastAsia="宋体"/>
                <w:color w:val="000000" w:themeColor="text1"/>
                <w:kern w:val="0"/>
                <w:sz w:val="22"/>
                <w:lang w:eastAsia="en-US"/>
                <w14:textFill>
                  <w14:solidFill>
                    <w14:schemeClr w14:val="tx1"/>
                  </w14:solidFill>
                </w14:textFill>
              </w:rPr>
            </w:pPr>
          </w:p>
        </w:tc>
        <w:tc>
          <w:tcPr>
            <w:tcW w:w="922" w:type="dxa"/>
            <w:vMerge w:val="continue"/>
            <w:shd w:val="clear" w:color="auto" w:fill="D1DCEC"/>
            <w:vAlign w:val="center"/>
          </w:tcPr>
          <w:p>
            <w:pPr>
              <w:spacing w:line="360" w:lineRule="exact"/>
              <w:jc w:val="center"/>
              <w:rPr>
                <w:rFonts w:eastAsia="宋体"/>
                <w:color w:val="000000" w:themeColor="text1"/>
                <w:kern w:val="0"/>
                <w:sz w:val="22"/>
                <w:lang w:eastAsia="en-US"/>
                <w14:textFill>
                  <w14:solidFill>
                    <w14:schemeClr w14:val="tx1"/>
                  </w14:solidFill>
                </w14:textFill>
              </w:rPr>
            </w:pPr>
          </w:p>
        </w:tc>
        <w:tc>
          <w:tcPr>
            <w:tcW w:w="923" w:type="dxa"/>
            <w:vMerge w:val="continue"/>
            <w:shd w:val="clear" w:color="auto" w:fill="D1DCEC"/>
            <w:vAlign w:val="center"/>
          </w:tcPr>
          <w:p>
            <w:pPr>
              <w:spacing w:line="360" w:lineRule="exact"/>
              <w:jc w:val="center"/>
              <w:rPr>
                <w:rFonts w:eastAsia="宋体"/>
                <w:color w:val="000000" w:themeColor="text1"/>
                <w:kern w:val="0"/>
                <w:sz w:val="22"/>
                <w:lang w:eastAsia="en-US"/>
                <w14:textFill>
                  <w14:solidFill>
                    <w14:schemeClr w14:val="tx1"/>
                  </w14:solidFill>
                </w14:textFill>
              </w:rPr>
            </w:pPr>
          </w:p>
        </w:tc>
        <w:tc>
          <w:tcPr>
            <w:tcW w:w="923" w:type="dxa"/>
            <w:vMerge w:val="continue"/>
            <w:shd w:val="clear" w:color="auto" w:fill="D1DCEC"/>
          </w:tcPr>
          <w:p>
            <w:pPr>
              <w:spacing w:line="360" w:lineRule="exact"/>
              <w:jc w:val="center"/>
              <w:rPr>
                <w:rFonts w:eastAsia="宋体"/>
                <w:color w:val="000000" w:themeColor="text1"/>
                <w:kern w:val="0"/>
                <w:sz w:val="22"/>
                <w:lang w:eastAsia="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3" w:hRule="atLeast"/>
          <w:jc w:val="center"/>
        </w:trPr>
        <w:tc>
          <w:tcPr>
            <w:tcW w:w="872" w:type="dxa"/>
            <w:vAlign w:val="center"/>
          </w:tcPr>
          <w:p>
            <w:pPr>
              <w:spacing w:line="360" w:lineRule="exac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人均</w:t>
            </w:r>
            <w:r>
              <w:rPr>
                <w:color w:val="000000" w:themeColor="text1"/>
                <w:kern w:val="0"/>
                <w:sz w:val="18"/>
                <w:szCs w:val="18"/>
                <w14:textFill>
                  <w14:solidFill>
                    <w14:schemeClr w14:val="tx1"/>
                  </w14:solidFill>
                </w14:textFill>
              </w:rPr>
              <w:t>GDP</w:t>
            </w:r>
            <w:r>
              <w:rPr>
                <w:rFonts w:hint="eastAsia"/>
                <w:color w:val="000000" w:themeColor="text1"/>
                <w:kern w:val="0"/>
                <w:sz w:val="18"/>
                <w:szCs w:val="18"/>
                <w14:textFill>
                  <w14:solidFill>
                    <w14:schemeClr w14:val="tx1"/>
                  </w14:solidFill>
                </w14:textFill>
              </w:rPr>
              <w:t>（美元）</w:t>
            </w:r>
          </w:p>
        </w:tc>
        <w:tc>
          <w:tcPr>
            <w:tcW w:w="795"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720-1440</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1440-2880</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2880-5760</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5760-10810</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&gt;10810</w:t>
            </w:r>
          </w:p>
        </w:tc>
        <w:tc>
          <w:tcPr>
            <w:tcW w:w="922" w:type="dxa"/>
            <w:vAlign w:val="center"/>
          </w:tcPr>
          <w:p>
            <w:pPr>
              <w:spacing w:line="360" w:lineRule="exac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9490.53</w:t>
            </w:r>
          </w:p>
        </w:tc>
        <w:tc>
          <w:tcPr>
            <w:tcW w:w="923"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11466.38</w:t>
            </w:r>
            <w:r>
              <w:rPr>
                <w:rFonts w:hint="eastAsia" w:eastAsia="方正楷体_GBK"/>
                <w:color w:val="000000" w:themeColor="text1"/>
                <w:kern w:val="0"/>
                <w:sz w:val="18"/>
                <w:szCs w:val="18"/>
                <w14:textFill>
                  <w14:solidFill>
                    <w14:schemeClr w14:val="tx1"/>
                  </w14:solidFill>
                </w14:textFill>
              </w:rPr>
              <w:t>*</w:t>
            </w:r>
          </w:p>
        </w:tc>
        <w:tc>
          <w:tcPr>
            <w:tcW w:w="922"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10087.97</w:t>
            </w:r>
            <w:r>
              <w:rPr>
                <w:rFonts w:hint="eastAsia" w:eastAsia="方正楷体_GBK"/>
                <w:color w:val="000000" w:themeColor="text1"/>
                <w:kern w:val="0"/>
                <w:sz w:val="18"/>
                <w:szCs w:val="18"/>
                <w14:textFill>
                  <w14:solidFill>
                    <w14:schemeClr w14:val="tx1"/>
                  </w14:solidFill>
                </w14:textFill>
              </w:rPr>
              <w:t>*</w:t>
            </w:r>
          </w:p>
        </w:tc>
        <w:tc>
          <w:tcPr>
            <w:tcW w:w="923"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18587.17</w:t>
            </w:r>
            <w:r>
              <w:rPr>
                <w:rFonts w:hint="eastAsia" w:eastAsia="方正楷体_GBK"/>
                <w:color w:val="000000" w:themeColor="text1"/>
                <w:kern w:val="0"/>
                <w:sz w:val="18"/>
                <w:szCs w:val="18"/>
                <w14:textFill>
                  <w14:solidFill>
                    <w14:schemeClr w14:val="tx1"/>
                  </w14:solidFill>
                </w14:textFill>
              </w:rPr>
              <w:t>*</w:t>
            </w:r>
          </w:p>
        </w:tc>
        <w:tc>
          <w:tcPr>
            <w:tcW w:w="923"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26065.40</w:t>
            </w:r>
            <w:r>
              <w:rPr>
                <w:rFonts w:hint="eastAsia" w:eastAsia="方正楷体_GBK"/>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76" w:hRule="atLeast"/>
          <w:jc w:val="center"/>
        </w:trPr>
        <w:tc>
          <w:tcPr>
            <w:tcW w:w="872" w:type="dxa"/>
            <w:vAlign w:val="center"/>
          </w:tcPr>
          <w:p>
            <w:pPr>
              <w:spacing w:line="360" w:lineRule="exac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产业结构（</w:t>
            </w:r>
            <w:r>
              <w:rPr>
                <w:color w:val="000000" w:themeColor="text1"/>
                <w:kern w:val="0"/>
                <w:sz w:val="18"/>
                <w:szCs w:val="18"/>
                <w14:textFill>
                  <w14:solidFill>
                    <w14:schemeClr w14:val="tx1"/>
                  </w14:solidFill>
                </w14:textFill>
              </w:rPr>
              <w:t>%</w:t>
            </w:r>
            <w:r>
              <w:rPr>
                <w:rFonts w:hint="eastAsia"/>
                <w:color w:val="000000" w:themeColor="text1"/>
                <w:kern w:val="0"/>
                <w:sz w:val="18"/>
                <w:szCs w:val="18"/>
                <w14:textFill>
                  <w14:solidFill>
                    <w14:schemeClr w14:val="tx1"/>
                  </w14:solidFill>
                </w14:textFill>
              </w:rPr>
              <w:t>）</w:t>
            </w:r>
          </w:p>
        </w:tc>
        <w:tc>
          <w:tcPr>
            <w:tcW w:w="795"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A&gt;1</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A&gt;20</w:t>
            </w:r>
          </w:p>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A&lt;I</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A&lt;20</w:t>
            </w:r>
          </w:p>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I&gt;S</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A&lt;10</w:t>
            </w:r>
          </w:p>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I&gt;S</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A&lt;10</w:t>
            </w:r>
          </w:p>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I&lt;S</w:t>
            </w:r>
          </w:p>
        </w:tc>
        <w:tc>
          <w:tcPr>
            <w:tcW w:w="922"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10.5:</w:t>
            </w:r>
          </w:p>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4</w:t>
            </w:r>
            <w:r>
              <w:rPr>
                <w:rFonts w:hint="eastAsia"/>
                <w:color w:val="000000" w:themeColor="text1"/>
                <w:kern w:val="0"/>
                <w:sz w:val="18"/>
                <w:szCs w:val="18"/>
                <w14:textFill>
                  <w14:solidFill>
                    <w14:schemeClr w14:val="tx1"/>
                  </w14:solidFill>
                </w14:textFill>
              </w:rPr>
              <w:t>1</w:t>
            </w:r>
            <w:r>
              <w:rPr>
                <w:color w:val="000000" w:themeColor="text1"/>
                <w:kern w:val="0"/>
                <w:sz w:val="18"/>
                <w:szCs w:val="18"/>
                <w14:textFill>
                  <w14:solidFill>
                    <w14:schemeClr w14:val="tx1"/>
                  </w14:solidFill>
                </w14:textFill>
              </w:rPr>
              <w:t>.</w:t>
            </w:r>
            <w:r>
              <w:rPr>
                <w:rFonts w:hint="eastAsia"/>
                <w:color w:val="000000" w:themeColor="text1"/>
                <w:kern w:val="0"/>
                <w:sz w:val="18"/>
                <w:szCs w:val="18"/>
                <w14:textFill>
                  <w14:solidFill>
                    <w14:schemeClr w14:val="tx1"/>
                  </w14:solidFill>
                </w14:textFill>
              </w:rPr>
              <w:t>9</w:t>
            </w:r>
            <w:r>
              <w:rPr>
                <w:color w:val="000000" w:themeColor="text1"/>
                <w:kern w:val="0"/>
                <w:sz w:val="18"/>
                <w:szCs w:val="18"/>
                <w14:textFill>
                  <w14:solidFill>
                    <w14:schemeClr w14:val="tx1"/>
                  </w14:solidFill>
                </w14:textFill>
              </w:rPr>
              <w:t>:</w:t>
            </w:r>
          </w:p>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4</w:t>
            </w:r>
            <w:r>
              <w:rPr>
                <w:rFonts w:hint="eastAsia"/>
                <w:color w:val="000000" w:themeColor="text1"/>
                <w:kern w:val="0"/>
                <w:sz w:val="18"/>
                <w:szCs w:val="18"/>
                <w14:textFill>
                  <w14:solidFill>
                    <w14:schemeClr w14:val="tx1"/>
                  </w14:solidFill>
                </w14:textFill>
              </w:rPr>
              <w:t>7</w:t>
            </w:r>
            <w:r>
              <w:rPr>
                <w:color w:val="000000" w:themeColor="text1"/>
                <w:kern w:val="0"/>
                <w:sz w:val="18"/>
                <w:szCs w:val="18"/>
                <w14:textFill>
                  <w14:solidFill>
                    <w14:schemeClr w14:val="tx1"/>
                  </w14:solidFill>
                </w14:textFill>
              </w:rPr>
              <w:t>.</w:t>
            </w:r>
            <w:r>
              <w:rPr>
                <w:rFonts w:hint="eastAsia"/>
                <w:color w:val="000000" w:themeColor="text1"/>
                <w:kern w:val="0"/>
                <w:sz w:val="18"/>
                <w:szCs w:val="18"/>
                <w14:textFill>
                  <w14:solidFill>
                    <w14:schemeClr w14:val="tx1"/>
                  </w14:solidFill>
                </w14:textFill>
              </w:rPr>
              <w:t>6</w:t>
            </w:r>
          </w:p>
        </w:tc>
        <w:tc>
          <w:tcPr>
            <w:tcW w:w="923"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w:t>
            </w:r>
            <w:r>
              <w:rPr>
                <w:rFonts w:hint="eastAsia"/>
                <w:color w:val="000000" w:themeColor="text1"/>
                <w:kern w:val="0"/>
                <w:sz w:val="18"/>
                <w:szCs w:val="18"/>
                <w14:textFill>
                  <w14:solidFill>
                    <w14:schemeClr w14:val="tx1"/>
                  </w14:solidFill>
                </w14:textFill>
              </w:rPr>
              <w:t>1</w:t>
            </w:r>
            <w:r>
              <w:rPr>
                <w:color w:val="000000" w:themeColor="text1"/>
                <w:kern w:val="0"/>
                <w:sz w:val="18"/>
                <w:szCs w:val="18"/>
                <w14:textFill>
                  <w14:solidFill>
                    <w14:schemeClr w14:val="tx1"/>
                  </w14:solidFill>
                </w14:textFill>
              </w:rPr>
              <w:t>.</w:t>
            </w:r>
            <w:r>
              <w:rPr>
                <w:rFonts w:hint="eastAsia"/>
                <w:color w:val="000000" w:themeColor="text1"/>
                <w:kern w:val="0"/>
                <w:sz w:val="18"/>
                <w:szCs w:val="18"/>
                <w14:textFill>
                  <w14:solidFill>
                    <w14:schemeClr w14:val="tx1"/>
                  </w14:solidFill>
                </w14:textFill>
              </w:rPr>
              <w:t>1</w:t>
            </w:r>
            <w:r>
              <w:rPr>
                <w:color w:val="000000" w:themeColor="text1"/>
                <w:kern w:val="0"/>
                <w:sz w:val="18"/>
                <w:szCs w:val="18"/>
                <w14:textFill>
                  <w14:solidFill>
                    <w14:schemeClr w14:val="tx1"/>
                  </w14:solidFill>
                </w14:textFill>
              </w:rPr>
              <w:t>:</w:t>
            </w:r>
          </w:p>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4</w:t>
            </w:r>
            <w:r>
              <w:rPr>
                <w:rFonts w:hint="eastAsia"/>
                <w:color w:val="000000" w:themeColor="text1"/>
                <w:kern w:val="0"/>
                <w:sz w:val="18"/>
                <w:szCs w:val="18"/>
                <w14:textFill>
                  <w14:solidFill>
                    <w14:schemeClr w14:val="tx1"/>
                  </w14:solidFill>
                </w14:textFill>
              </w:rPr>
              <w:t>0</w:t>
            </w:r>
            <w:r>
              <w:rPr>
                <w:color w:val="000000" w:themeColor="text1"/>
                <w:kern w:val="0"/>
                <w:sz w:val="18"/>
                <w:szCs w:val="18"/>
                <w14:textFill>
                  <w14:solidFill>
                    <w14:schemeClr w14:val="tx1"/>
                  </w14:solidFill>
                </w14:textFill>
              </w:rPr>
              <w:t>.</w:t>
            </w:r>
            <w:r>
              <w:rPr>
                <w:rFonts w:hint="eastAsia"/>
                <w:color w:val="000000" w:themeColor="text1"/>
                <w:kern w:val="0"/>
                <w:sz w:val="18"/>
                <w:szCs w:val="18"/>
                <w14:textFill>
                  <w14:solidFill>
                    <w14:schemeClr w14:val="tx1"/>
                  </w14:solidFill>
                </w14:textFill>
              </w:rPr>
              <w:t>0</w:t>
            </w:r>
            <w:r>
              <w:rPr>
                <w:color w:val="000000" w:themeColor="text1"/>
                <w:kern w:val="0"/>
                <w:sz w:val="18"/>
                <w:szCs w:val="18"/>
                <w14:textFill>
                  <w14:solidFill>
                    <w14:schemeClr w14:val="tx1"/>
                  </w14:solidFill>
                </w14:textFill>
              </w:rPr>
              <w:t>:</w:t>
            </w:r>
          </w:p>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4</w:t>
            </w:r>
            <w:r>
              <w:rPr>
                <w:rFonts w:hint="eastAsia"/>
                <w:color w:val="000000" w:themeColor="text1"/>
                <w:kern w:val="0"/>
                <w:sz w:val="18"/>
                <w:szCs w:val="18"/>
                <w14:textFill>
                  <w14:solidFill>
                    <w14:schemeClr w14:val="tx1"/>
                  </w14:solidFill>
                </w14:textFill>
              </w:rPr>
              <w:t>8</w:t>
            </w:r>
            <w:r>
              <w:rPr>
                <w:color w:val="000000" w:themeColor="text1"/>
                <w:kern w:val="0"/>
                <w:sz w:val="18"/>
                <w:szCs w:val="18"/>
                <w14:textFill>
                  <w14:solidFill>
                    <w14:schemeClr w14:val="tx1"/>
                  </w14:solidFill>
                </w14:textFill>
              </w:rPr>
              <w:t>.</w:t>
            </w:r>
            <w:r>
              <w:rPr>
                <w:rFonts w:hint="eastAsia"/>
                <w:color w:val="000000" w:themeColor="text1"/>
                <w:kern w:val="0"/>
                <w:sz w:val="18"/>
                <w:szCs w:val="18"/>
                <w14:textFill>
                  <w14:solidFill>
                    <w14:schemeClr w14:val="tx1"/>
                  </w14:solidFill>
                </w14:textFill>
              </w:rPr>
              <w:t>9</w:t>
            </w:r>
          </w:p>
        </w:tc>
        <w:tc>
          <w:tcPr>
            <w:tcW w:w="922"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11.6:</w:t>
            </w:r>
          </w:p>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43.4:</w:t>
            </w:r>
          </w:p>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45.0</w:t>
            </w:r>
            <w:r>
              <w:rPr>
                <w:rFonts w:hint="eastAsia" w:eastAsia="方正楷体_GBK"/>
                <w:color w:val="000000" w:themeColor="text1"/>
                <w:kern w:val="0"/>
                <w:sz w:val="18"/>
                <w:szCs w:val="18"/>
                <w14:textFill>
                  <w14:solidFill>
                    <w14:schemeClr w14:val="tx1"/>
                  </w14:solidFill>
                </w14:textFill>
              </w:rPr>
              <w:t>*</w:t>
            </w:r>
          </w:p>
        </w:tc>
        <w:tc>
          <w:tcPr>
            <w:tcW w:w="923"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4.6:</w:t>
            </w:r>
          </w:p>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4</w:t>
            </w:r>
            <w:r>
              <w:rPr>
                <w:rFonts w:hint="eastAsia"/>
                <w:color w:val="000000" w:themeColor="text1"/>
                <w:kern w:val="0"/>
                <w:sz w:val="18"/>
                <w:szCs w:val="18"/>
                <w14:textFill>
                  <w14:solidFill>
                    <w14:schemeClr w14:val="tx1"/>
                  </w14:solidFill>
                </w14:textFill>
              </w:rPr>
              <w:t>7</w:t>
            </w:r>
            <w:r>
              <w:rPr>
                <w:color w:val="000000" w:themeColor="text1"/>
                <w:kern w:val="0"/>
                <w:sz w:val="18"/>
                <w:szCs w:val="18"/>
                <w14:textFill>
                  <w14:solidFill>
                    <w14:schemeClr w14:val="tx1"/>
                  </w14:solidFill>
                </w14:textFill>
              </w:rPr>
              <w:t>.</w:t>
            </w:r>
            <w:r>
              <w:rPr>
                <w:rFonts w:hint="eastAsia"/>
                <w:color w:val="000000" w:themeColor="text1"/>
                <w:kern w:val="0"/>
                <w:sz w:val="18"/>
                <w:szCs w:val="18"/>
                <w14:textFill>
                  <w14:solidFill>
                    <w14:schemeClr w14:val="tx1"/>
                  </w14:solidFill>
                </w14:textFill>
              </w:rPr>
              <w:t>5</w:t>
            </w:r>
            <w:r>
              <w:rPr>
                <w:color w:val="000000" w:themeColor="text1"/>
                <w:kern w:val="0"/>
                <w:sz w:val="18"/>
                <w:szCs w:val="18"/>
                <w14:textFill>
                  <w14:solidFill>
                    <w14:schemeClr w14:val="tx1"/>
                  </w14:solidFill>
                </w14:textFill>
              </w:rPr>
              <w:t>:</w:t>
            </w:r>
          </w:p>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4</w:t>
            </w:r>
            <w:r>
              <w:rPr>
                <w:rFonts w:hint="eastAsia"/>
                <w:color w:val="000000" w:themeColor="text1"/>
                <w:kern w:val="0"/>
                <w:sz w:val="18"/>
                <w:szCs w:val="18"/>
                <w14:textFill>
                  <w14:solidFill>
                    <w14:schemeClr w14:val="tx1"/>
                  </w14:solidFill>
                </w14:textFill>
              </w:rPr>
              <w:t>7</w:t>
            </w:r>
            <w:r>
              <w:rPr>
                <w:color w:val="000000" w:themeColor="text1"/>
                <w:kern w:val="0"/>
                <w:sz w:val="18"/>
                <w:szCs w:val="18"/>
                <w14:textFill>
                  <w14:solidFill>
                    <w14:schemeClr w14:val="tx1"/>
                  </w14:solidFill>
                </w14:textFill>
              </w:rPr>
              <w:t>.</w:t>
            </w:r>
            <w:r>
              <w:rPr>
                <w:rFonts w:hint="eastAsia"/>
                <w:color w:val="000000" w:themeColor="text1"/>
                <w:kern w:val="0"/>
                <w:sz w:val="18"/>
                <w:szCs w:val="18"/>
                <w14:textFill>
                  <w14:solidFill>
                    <w14:schemeClr w14:val="tx1"/>
                  </w14:solidFill>
                </w14:textFill>
              </w:rPr>
              <w:t>9</w:t>
            </w:r>
          </w:p>
        </w:tc>
        <w:tc>
          <w:tcPr>
            <w:tcW w:w="923"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1.0:</w:t>
            </w:r>
          </w:p>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4</w:t>
            </w:r>
            <w:r>
              <w:rPr>
                <w:rFonts w:hint="eastAsia"/>
                <w:color w:val="000000" w:themeColor="text1"/>
                <w:kern w:val="0"/>
                <w:sz w:val="18"/>
                <w:szCs w:val="18"/>
                <w14:textFill>
                  <w14:solidFill>
                    <w14:schemeClr w14:val="tx1"/>
                  </w14:solidFill>
                </w14:textFill>
              </w:rPr>
              <w:t>6</w:t>
            </w:r>
            <w:r>
              <w:rPr>
                <w:color w:val="000000" w:themeColor="text1"/>
                <w:kern w:val="0"/>
                <w:sz w:val="18"/>
                <w:szCs w:val="18"/>
                <w14:textFill>
                  <w14:solidFill>
                    <w14:schemeClr w14:val="tx1"/>
                  </w14:solidFill>
                </w14:textFill>
              </w:rPr>
              <w:t>.5:</w:t>
            </w:r>
          </w:p>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5</w:t>
            </w:r>
            <w:r>
              <w:rPr>
                <w:rFonts w:hint="eastAsia"/>
                <w:color w:val="000000" w:themeColor="text1"/>
                <w:kern w:val="0"/>
                <w:sz w:val="18"/>
                <w:szCs w:val="18"/>
                <w14:textFill>
                  <w14:solidFill>
                    <w14:schemeClr w14:val="tx1"/>
                  </w14:solidFill>
                </w14:textFill>
              </w:rPr>
              <w:t>2</w:t>
            </w:r>
            <w:r>
              <w:rPr>
                <w:color w:val="000000" w:themeColor="text1"/>
                <w:kern w:val="0"/>
                <w:sz w:val="18"/>
                <w:szCs w:val="18"/>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92" w:hRule="atLeast"/>
          <w:jc w:val="center"/>
        </w:trPr>
        <w:tc>
          <w:tcPr>
            <w:tcW w:w="872" w:type="dxa"/>
            <w:vAlign w:val="center"/>
          </w:tcPr>
          <w:p>
            <w:pPr>
              <w:spacing w:line="360" w:lineRule="exac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霍夫曼</w:t>
            </w:r>
          </w:p>
          <w:p>
            <w:pPr>
              <w:spacing w:line="360" w:lineRule="exac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系数</w:t>
            </w:r>
          </w:p>
        </w:tc>
        <w:tc>
          <w:tcPr>
            <w:tcW w:w="795" w:type="dxa"/>
            <w:vAlign w:val="center"/>
          </w:tcPr>
          <w:p>
            <w:pPr>
              <w:spacing w:line="360" w:lineRule="exac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5</w:t>
            </w:r>
            <w:r>
              <w:rPr>
                <w:rFonts w:hint="eastAsia"/>
                <w:color w:val="000000" w:themeColor="text1"/>
                <w:kern w:val="0"/>
                <w:sz w:val="18"/>
                <w:szCs w:val="18"/>
                <w14:textFill>
                  <w14:solidFill>
                    <w14:schemeClr w14:val="tx1"/>
                  </w14:solidFill>
                </w14:textFill>
              </w:rPr>
              <w:t>（</w:t>
            </w:r>
            <w:r>
              <w:rPr>
                <w:color w:val="000000" w:themeColor="text1"/>
                <w:kern w:val="0"/>
                <w:sz w:val="18"/>
                <w:szCs w:val="18"/>
                <w14:textFill>
                  <w14:solidFill>
                    <w14:schemeClr w14:val="tx1"/>
                  </w14:solidFill>
                </w14:textFill>
              </w:rPr>
              <w:t>±1</w:t>
            </w:r>
            <w:r>
              <w:rPr>
                <w:rFonts w:hint="eastAsia"/>
                <w:color w:val="000000" w:themeColor="text1"/>
                <w:kern w:val="0"/>
                <w:sz w:val="18"/>
                <w:szCs w:val="18"/>
                <w14:textFill>
                  <w14:solidFill>
                    <w14:schemeClr w14:val="tx1"/>
                  </w14:solidFill>
                </w14:textFill>
              </w:rPr>
              <w:t>）</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w:t>
            </w:r>
            <w:r>
              <w:rPr>
                <w:rFonts w:hint="eastAsia"/>
                <w:color w:val="000000" w:themeColor="text1"/>
                <w:kern w:val="0"/>
                <w:sz w:val="18"/>
                <w:szCs w:val="18"/>
                <w14:textFill>
                  <w14:solidFill>
                    <w14:schemeClr w14:val="tx1"/>
                  </w14:solidFill>
                </w14:textFill>
              </w:rPr>
              <w:t>（</w:t>
            </w:r>
            <w:r>
              <w:rPr>
                <w:color w:val="000000" w:themeColor="text1"/>
                <w:kern w:val="0"/>
                <w:sz w:val="18"/>
                <w:szCs w:val="18"/>
                <w14:textFill>
                  <w14:solidFill>
                    <w14:schemeClr w14:val="tx1"/>
                  </w14:solidFill>
                </w14:textFill>
              </w:rPr>
              <w:t>±0.5</w:t>
            </w:r>
            <w:r>
              <w:rPr>
                <w:rFonts w:hint="eastAsia"/>
                <w:color w:val="000000" w:themeColor="text1"/>
                <w:kern w:val="0"/>
                <w:sz w:val="18"/>
                <w:szCs w:val="18"/>
                <w14:textFill>
                  <w14:solidFill>
                    <w14:schemeClr w14:val="tx1"/>
                  </w14:solidFill>
                </w14:textFill>
              </w:rPr>
              <w:t>）</w:t>
            </w:r>
            <w:r>
              <w:rPr>
                <w:color w:val="000000" w:themeColor="text1"/>
                <w:kern w:val="0"/>
                <w:sz w:val="18"/>
                <w:szCs w:val="18"/>
                <w14:textFill>
                  <w14:solidFill>
                    <w14:schemeClr w14:val="tx1"/>
                  </w14:solidFill>
                </w14:textFill>
              </w:rPr>
              <w:br w:type="textWrapping"/>
            </w:r>
            <w:r>
              <w:rPr>
                <w:color w:val="000000" w:themeColor="text1"/>
                <w:kern w:val="0"/>
                <w:sz w:val="18"/>
                <w:szCs w:val="18"/>
                <w14:textFill>
                  <w14:solidFill>
                    <w14:schemeClr w14:val="tx1"/>
                  </w14:solidFill>
                </w14:textFill>
              </w:rPr>
              <w:t>~</w:t>
            </w:r>
          </w:p>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2.5</w:t>
            </w:r>
            <w:r>
              <w:rPr>
                <w:rFonts w:hint="eastAsia"/>
                <w:color w:val="000000" w:themeColor="text1"/>
                <w:kern w:val="0"/>
                <w:sz w:val="18"/>
                <w:szCs w:val="18"/>
                <w14:textFill>
                  <w14:solidFill>
                    <w14:schemeClr w14:val="tx1"/>
                  </w14:solidFill>
                </w14:textFill>
              </w:rPr>
              <w:t>（</w:t>
            </w:r>
            <w:r>
              <w:rPr>
                <w:color w:val="000000" w:themeColor="text1"/>
                <w:kern w:val="0"/>
                <w:sz w:val="18"/>
                <w:szCs w:val="18"/>
                <w14:textFill>
                  <w14:solidFill>
                    <w14:schemeClr w14:val="tx1"/>
                  </w14:solidFill>
                </w14:textFill>
              </w:rPr>
              <w:t>±1</w:t>
            </w:r>
            <w:r>
              <w:rPr>
                <w:rFonts w:hint="eastAsia"/>
                <w:color w:val="000000" w:themeColor="text1"/>
                <w:kern w:val="0"/>
                <w:sz w:val="18"/>
                <w:szCs w:val="18"/>
                <w14:textFill>
                  <w14:solidFill>
                    <w14:schemeClr w14:val="tx1"/>
                  </w14:solidFill>
                </w14:textFill>
              </w:rPr>
              <w:t>）</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w:t>
            </w:r>
            <w:r>
              <w:rPr>
                <w:rFonts w:hint="eastAsia"/>
                <w:color w:val="000000" w:themeColor="text1"/>
                <w:kern w:val="0"/>
                <w:sz w:val="18"/>
                <w:szCs w:val="18"/>
                <w14:textFill>
                  <w14:solidFill>
                    <w14:schemeClr w14:val="tx1"/>
                  </w14:solidFill>
                </w14:textFill>
              </w:rPr>
              <w:t>以下</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922"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1.4</w:t>
            </w:r>
            <w:r>
              <w:rPr>
                <w:rFonts w:hint="eastAsia"/>
                <w:color w:val="000000" w:themeColor="text1"/>
                <w:kern w:val="0"/>
                <w:sz w:val="18"/>
                <w:szCs w:val="18"/>
                <w14:textFill>
                  <w14:solidFill>
                    <w14:schemeClr w14:val="tx1"/>
                  </w14:solidFill>
                </w14:textFill>
              </w:rPr>
              <w:t>7</w:t>
            </w:r>
            <w:r>
              <w:rPr>
                <w:rFonts w:hint="eastAsia" w:eastAsia="方正楷体_GBK"/>
                <w:color w:val="000000" w:themeColor="text1"/>
                <w:kern w:val="0"/>
                <w:sz w:val="18"/>
                <w:szCs w:val="18"/>
                <w14:textFill>
                  <w14:solidFill>
                    <w14:schemeClr w14:val="tx1"/>
                  </w14:solidFill>
                </w14:textFill>
              </w:rPr>
              <w:t>*</w:t>
            </w:r>
          </w:p>
        </w:tc>
        <w:tc>
          <w:tcPr>
            <w:tcW w:w="923"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0.19**</w:t>
            </w:r>
            <w:r>
              <w:rPr>
                <w:rFonts w:hint="eastAsia" w:eastAsia="方正楷体_GBK"/>
                <w:color w:val="000000" w:themeColor="text1"/>
                <w:kern w:val="0"/>
                <w:sz w:val="18"/>
                <w:szCs w:val="18"/>
                <w14:textFill>
                  <w14:solidFill>
                    <w14:schemeClr w14:val="tx1"/>
                  </w14:solidFill>
                </w14:textFill>
              </w:rPr>
              <w:t>*</w:t>
            </w:r>
          </w:p>
        </w:tc>
        <w:tc>
          <w:tcPr>
            <w:tcW w:w="922"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0.6</w:t>
            </w:r>
            <w:r>
              <w:rPr>
                <w:rFonts w:hint="eastAsia"/>
                <w:color w:val="000000" w:themeColor="text1"/>
                <w:kern w:val="0"/>
                <w:sz w:val="18"/>
                <w:szCs w:val="18"/>
                <w14:textFill>
                  <w14:solidFill>
                    <w14:schemeClr w14:val="tx1"/>
                  </w14:solidFill>
                </w14:textFill>
              </w:rPr>
              <w:t>1</w:t>
            </w:r>
            <w:r>
              <w:rPr>
                <w:rFonts w:hint="eastAsia" w:eastAsia="方正楷体_GBK"/>
                <w:color w:val="000000" w:themeColor="text1"/>
                <w:kern w:val="0"/>
                <w:sz w:val="18"/>
                <w:szCs w:val="18"/>
                <w14:textFill>
                  <w14:solidFill>
                    <w14:schemeClr w14:val="tx1"/>
                  </w14:solidFill>
                </w14:textFill>
              </w:rPr>
              <w:t>*</w:t>
            </w:r>
          </w:p>
        </w:tc>
        <w:tc>
          <w:tcPr>
            <w:tcW w:w="923"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0.5*</w:t>
            </w:r>
            <w:r>
              <w:rPr>
                <w:rFonts w:hint="eastAsia" w:eastAsia="方正楷体_GBK"/>
                <w:color w:val="000000" w:themeColor="text1"/>
                <w:kern w:val="0"/>
                <w:sz w:val="18"/>
                <w:szCs w:val="18"/>
                <w14:textFill>
                  <w14:solidFill>
                    <w14:schemeClr w14:val="tx1"/>
                  </w14:solidFill>
                </w14:textFill>
              </w:rPr>
              <w:t>*</w:t>
            </w:r>
          </w:p>
        </w:tc>
        <w:tc>
          <w:tcPr>
            <w:tcW w:w="923"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54" w:hRule="atLeast"/>
          <w:jc w:val="center"/>
        </w:trPr>
        <w:tc>
          <w:tcPr>
            <w:tcW w:w="872" w:type="dxa"/>
            <w:vAlign w:val="center"/>
          </w:tcPr>
          <w:p>
            <w:pPr>
              <w:spacing w:line="360" w:lineRule="exac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城镇化率</w:t>
            </w:r>
          </w:p>
          <w:p>
            <w:pPr>
              <w:spacing w:line="360" w:lineRule="exac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r>
              <w:rPr>
                <w:color w:val="000000" w:themeColor="text1"/>
                <w:kern w:val="0"/>
                <w:sz w:val="18"/>
                <w:szCs w:val="18"/>
                <w14:textFill>
                  <w14:solidFill>
                    <w14:schemeClr w14:val="tx1"/>
                  </w14:solidFill>
                </w14:textFill>
              </w:rPr>
              <w:t>%</w:t>
            </w:r>
            <w:r>
              <w:rPr>
                <w:rFonts w:hint="eastAsia"/>
                <w:color w:val="000000" w:themeColor="text1"/>
                <w:kern w:val="0"/>
                <w:sz w:val="18"/>
                <w:szCs w:val="18"/>
                <w14:textFill>
                  <w14:solidFill>
                    <w14:schemeClr w14:val="tx1"/>
                  </w14:solidFill>
                </w14:textFill>
              </w:rPr>
              <w:t>）</w:t>
            </w:r>
          </w:p>
        </w:tc>
        <w:tc>
          <w:tcPr>
            <w:tcW w:w="795"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30</w:t>
            </w:r>
            <w:r>
              <w:rPr>
                <w:rFonts w:hint="eastAsia"/>
                <w:color w:val="000000" w:themeColor="text1"/>
                <w:kern w:val="0"/>
                <w:sz w:val="18"/>
                <w:szCs w:val="18"/>
                <w14:textFill>
                  <w14:solidFill>
                    <w14:schemeClr w14:val="tx1"/>
                  </w14:solidFill>
                </w14:textFill>
              </w:rPr>
              <w:t>以下</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30-50</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50-60</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60-75</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75</w:t>
            </w:r>
            <w:r>
              <w:rPr>
                <w:rFonts w:hint="eastAsia"/>
                <w:color w:val="000000" w:themeColor="text1"/>
                <w:kern w:val="0"/>
                <w:sz w:val="18"/>
                <w:szCs w:val="18"/>
                <w14:textFill>
                  <w14:solidFill>
                    <w14:schemeClr w14:val="tx1"/>
                  </w14:solidFill>
                </w14:textFill>
              </w:rPr>
              <w:t>以上</w:t>
            </w:r>
          </w:p>
        </w:tc>
        <w:tc>
          <w:tcPr>
            <w:tcW w:w="922"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6</w:t>
            </w:r>
            <w:r>
              <w:rPr>
                <w:rFonts w:hint="eastAsia"/>
                <w:color w:val="000000" w:themeColor="text1"/>
                <w:kern w:val="0"/>
                <w:sz w:val="18"/>
                <w:szCs w:val="18"/>
                <w14:textFill>
                  <w14:solidFill>
                    <w14:schemeClr w14:val="tx1"/>
                  </w14:solidFill>
                </w14:textFill>
              </w:rPr>
              <w:t>3.0</w:t>
            </w:r>
          </w:p>
        </w:tc>
        <w:tc>
          <w:tcPr>
            <w:tcW w:w="923"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64.9</w:t>
            </w:r>
            <w:r>
              <w:rPr>
                <w:rFonts w:hint="eastAsia" w:eastAsia="方正楷体_GBK"/>
                <w:color w:val="000000" w:themeColor="text1"/>
                <w:kern w:val="0"/>
                <w:sz w:val="18"/>
                <w:szCs w:val="18"/>
                <w14:textFill>
                  <w14:solidFill>
                    <w14:schemeClr w14:val="tx1"/>
                  </w14:solidFill>
                </w14:textFill>
              </w:rPr>
              <w:t>*</w:t>
            </w:r>
          </w:p>
        </w:tc>
        <w:tc>
          <w:tcPr>
            <w:tcW w:w="922"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63.6</w:t>
            </w:r>
            <w:r>
              <w:rPr>
                <w:rFonts w:hint="eastAsia" w:eastAsia="方正楷体_GBK"/>
                <w:color w:val="000000" w:themeColor="text1"/>
                <w:kern w:val="0"/>
                <w:sz w:val="18"/>
                <w:szCs w:val="18"/>
                <w14:textFill>
                  <w14:solidFill>
                    <w14:schemeClr w14:val="tx1"/>
                  </w14:solidFill>
                </w14:textFill>
              </w:rPr>
              <w:t>*</w:t>
            </w:r>
          </w:p>
        </w:tc>
        <w:tc>
          <w:tcPr>
            <w:tcW w:w="923" w:type="dxa"/>
            <w:vAlign w:val="center"/>
          </w:tcPr>
          <w:p>
            <w:pPr>
              <w:spacing w:line="360" w:lineRule="exac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69.1</w:t>
            </w:r>
          </w:p>
        </w:tc>
        <w:tc>
          <w:tcPr>
            <w:tcW w:w="923"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77.1</w:t>
            </w:r>
            <w:r>
              <w:rPr>
                <w:rFonts w:hint="eastAsia" w:eastAsia="方正楷体_GBK"/>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76" w:hRule="atLeast"/>
          <w:jc w:val="center"/>
        </w:trPr>
        <w:tc>
          <w:tcPr>
            <w:tcW w:w="872" w:type="dxa"/>
            <w:vAlign w:val="center"/>
          </w:tcPr>
          <w:p>
            <w:pPr>
              <w:spacing w:line="360" w:lineRule="exac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农业就业人员比重</w:t>
            </w:r>
          </w:p>
          <w:p>
            <w:pPr>
              <w:spacing w:line="360" w:lineRule="exac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r>
              <w:rPr>
                <w:color w:val="000000" w:themeColor="text1"/>
                <w:kern w:val="0"/>
                <w:sz w:val="18"/>
                <w:szCs w:val="18"/>
                <w14:textFill>
                  <w14:solidFill>
                    <w14:schemeClr w14:val="tx1"/>
                  </w14:solidFill>
                </w14:textFill>
              </w:rPr>
              <w:t>%</w:t>
            </w:r>
            <w:r>
              <w:rPr>
                <w:rFonts w:hint="eastAsia"/>
                <w:color w:val="000000" w:themeColor="text1"/>
                <w:kern w:val="0"/>
                <w:sz w:val="18"/>
                <w:szCs w:val="18"/>
                <w14:textFill>
                  <w14:solidFill>
                    <w14:schemeClr w14:val="tx1"/>
                  </w14:solidFill>
                </w14:textFill>
              </w:rPr>
              <w:t>）</w:t>
            </w:r>
          </w:p>
        </w:tc>
        <w:tc>
          <w:tcPr>
            <w:tcW w:w="795"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60</w:t>
            </w:r>
            <w:r>
              <w:rPr>
                <w:rFonts w:hint="eastAsia"/>
                <w:color w:val="000000" w:themeColor="text1"/>
                <w:kern w:val="0"/>
                <w:sz w:val="18"/>
                <w:szCs w:val="18"/>
                <w14:textFill>
                  <w14:solidFill>
                    <w14:schemeClr w14:val="tx1"/>
                  </w14:solidFill>
                </w14:textFill>
              </w:rPr>
              <w:t>以上</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45-60</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30-45</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10-30</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10</w:t>
            </w:r>
            <w:r>
              <w:rPr>
                <w:rFonts w:hint="eastAsia"/>
                <w:color w:val="000000" w:themeColor="text1"/>
                <w:kern w:val="0"/>
                <w:sz w:val="18"/>
                <w:szCs w:val="18"/>
                <w14:textFill>
                  <w14:solidFill>
                    <w14:schemeClr w14:val="tx1"/>
                  </w14:solidFill>
                </w14:textFill>
              </w:rPr>
              <w:t>以下</w:t>
            </w:r>
          </w:p>
        </w:tc>
        <w:tc>
          <w:tcPr>
            <w:tcW w:w="922"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29.4</w:t>
            </w:r>
            <w:r>
              <w:rPr>
                <w:rFonts w:hint="eastAsia" w:eastAsia="方正楷体_GBK"/>
                <w:color w:val="000000" w:themeColor="text1"/>
                <w:kern w:val="0"/>
                <w:sz w:val="18"/>
                <w:szCs w:val="18"/>
                <w14:textFill>
                  <w14:solidFill>
                    <w14:schemeClr w14:val="tx1"/>
                  </w14:solidFill>
                </w14:textFill>
              </w:rPr>
              <w:t>*</w:t>
            </w:r>
          </w:p>
        </w:tc>
        <w:tc>
          <w:tcPr>
            <w:tcW w:w="923"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22.2</w:t>
            </w:r>
            <w:r>
              <w:rPr>
                <w:rFonts w:hint="eastAsia" w:eastAsia="方正楷体_GBK"/>
                <w:color w:val="000000" w:themeColor="text1"/>
                <w:kern w:val="0"/>
                <w:sz w:val="18"/>
                <w:szCs w:val="18"/>
                <w14:textFill>
                  <w14:solidFill>
                    <w14:schemeClr w14:val="tx1"/>
                  </w14:solidFill>
                </w14:textFill>
              </w:rPr>
              <w:t>*</w:t>
            </w:r>
          </w:p>
        </w:tc>
        <w:tc>
          <w:tcPr>
            <w:tcW w:w="922"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31.0</w:t>
            </w:r>
            <w:r>
              <w:rPr>
                <w:rFonts w:hint="eastAsia" w:eastAsia="方正楷体_GBK"/>
                <w:color w:val="000000" w:themeColor="text1"/>
                <w:kern w:val="0"/>
                <w:sz w:val="18"/>
                <w:szCs w:val="18"/>
                <w14:textFill>
                  <w14:solidFill>
                    <w14:schemeClr w14:val="tx1"/>
                  </w14:solidFill>
                </w14:textFill>
              </w:rPr>
              <w:t>*</w:t>
            </w:r>
          </w:p>
        </w:tc>
        <w:tc>
          <w:tcPr>
            <w:tcW w:w="923"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17.7</w:t>
            </w:r>
            <w:r>
              <w:rPr>
                <w:rFonts w:hint="eastAsia" w:eastAsia="方正楷体_GBK"/>
                <w:color w:val="000000" w:themeColor="text1"/>
                <w:kern w:val="0"/>
                <w:sz w:val="18"/>
                <w:szCs w:val="18"/>
                <w14:textFill>
                  <w14:solidFill>
                    <w14:schemeClr w14:val="tx1"/>
                  </w14:solidFill>
                </w14:textFill>
              </w:rPr>
              <w:t>*</w:t>
            </w:r>
          </w:p>
        </w:tc>
        <w:tc>
          <w:tcPr>
            <w:tcW w:w="923" w:type="dxa"/>
            <w:vAlign w:val="center"/>
          </w:tcPr>
          <w:p>
            <w:pPr>
              <w:spacing w:line="360" w:lineRule="exact"/>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3.9</w:t>
            </w:r>
            <w:r>
              <w:rPr>
                <w:rFonts w:hint="eastAsia" w:eastAsia="方正楷体_GBK"/>
                <w:color w:val="000000" w:themeColor="text1"/>
                <w:kern w:val="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07" w:hRule="atLeast"/>
          <w:jc w:val="center"/>
        </w:trPr>
        <w:tc>
          <w:tcPr>
            <w:tcW w:w="872" w:type="dxa"/>
            <w:vAlign w:val="center"/>
          </w:tcPr>
          <w:p>
            <w:pPr>
              <w:spacing w:line="360" w:lineRule="exac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工业化</w:t>
            </w:r>
          </w:p>
          <w:p>
            <w:pPr>
              <w:spacing w:line="360" w:lineRule="exac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阶段</w:t>
            </w:r>
          </w:p>
          <w:p>
            <w:pPr>
              <w:spacing w:line="360" w:lineRule="exac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及特征</w:t>
            </w:r>
          </w:p>
        </w:tc>
        <w:tc>
          <w:tcPr>
            <w:tcW w:w="795" w:type="dxa"/>
            <w:vAlign w:val="center"/>
          </w:tcPr>
          <w:p>
            <w:pPr>
              <w:spacing w:line="360" w:lineRule="exac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以轻工业为主</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以重工业为主</w:t>
            </w:r>
          </w:p>
        </w:tc>
        <w:tc>
          <w:tcPr>
            <w:tcW w:w="887" w:type="dxa"/>
            <w:vAlign w:val="center"/>
          </w:tcPr>
          <w:p>
            <w:pPr>
              <w:spacing w:line="360" w:lineRule="exact"/>
              <w:jc w:val="center"/>
              <w:rPr>
                <w:color w:val="000000" w:themeColor="text1"/>
                <w:spacing w:val="-20"/>
                <w:kern w:val="0"/>
                <w:sz w:val="18"/>
                <w:szCs w:val="18"/>
                <w14:textFill>
                  <w14:solidFill>
                    <w14:schemeClr w14:val="tx1"/>
                  </w14:solidFill>
                </w14:textFill>
              </w:rPr>
            </w:pPr>
            <w:r>
              <w:rPr>
                <w:rFonts w:hint="eastAsia"/>
                <w:color w:val="000000" w:themeColor="text1"/>
                <w:spacing w:val="-20"/>
                <w:kern w:val="0"/>
                <w:sz w:val="18"/>
                <w:szCs w:val="18"/>
                <w14:textFill>
                  <w14:solidFill>
                    <w14:schemeClr w14:val="tx1"/>
                  </w14:solidFill>
                </w14:textFill>
              </w:rPr>
              <w:t>高加工度、</w:t>
            </w:r>
          </w:p>
          <w:p>
            <w:pPr>
              <w:spacing w:line="360" w:lineRule="exact"/>
              <w:jc w:val="center"/>
              <w:rPr>
                <w:color w:val="000000" w:themeColor="text1"/>
                <w:spacing w:val="-20"/>
                <w:kern w:val="0"/>
                <w:sz w:val="18"/>
                <w:szCs w:val="18"/>
                <w14:textFill>
                  <w14:solidFill>
                    <w14:schemeClr w14:val="tx1"/>
                  </w14:solidFill>
                </w14:textFill>
              </w:rPr>
            </w:pPr>
            <w:r>
              <w:rPr>
                <w:rFonts w:hint="eastAsia"/>
                <w:color w:val="000000" w:themeColor="text1"/>
                <w:spacing w:val="-20"/>
                <w:kern w:val="0"/>
                <w:sz w:val="18"/>
                <w:szCs w:val="18"/>
                <w14:textFill>
                  <w14:solidFill>
                    <w14:schemeClr w14:val="tx1"/>
                  </w14:solidFill>
                </w14:textFill>
              </w:rPr>
              <w:t>技术集约化</w:t>
            </w:r>
          </w:p>
        </w:tc>
        <w:tc>
          <w:tcPr>
            <w:tcW w:w="887" w:type="dxa"/>
            <w:vAlign w:val="center"/>
          </w:tcPr>
          <w:p>
            <w:pPr>
              <w:spacing w:line="360" w:lineRule="exact"/>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信息化、</w:t>
            </w:r>
          </w:p>
          <w:p>
            <w:pPr>
              <w:spacing w:line="360" w:lineRule="exact"/>
              <w:ind w:left="-15" w:leftChars="-7"/>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智能化</w:t>
            </w:r>
          </w:p>
        </w:tc>
        <w:tc>
          <w:tcPr>
            <w:tcW w:w="922" w:type="dxa"/>
            <w:vAlign w:val="center"/>
          </w:tcPr>
          <w:p>
            <w:pPr>
              <w:spacing w:line="360" w:lineRule="exact"/>
              <w:jc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工业化</w:t>
            </w:r>
          </w:p>
          <w:p>
            <w:pPr>
              <w:spacing w:line="360" w:lineRule="exact"/>
              <w:jc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中前期</w:t>
            </w:r>
          </w:p>
        </w:tc>
        <w:tc>
          <w:tcPr>
            <w:tcW w:w="923" w:type="dxa"/>
            <w:vAlign w:val="center"/>
          </w:tcPr>
          <w:p>
            <w:pPr>
              <w:spacing w:line="360" w:lineRule="exact"/>
              <w:jc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工业化</w:t>
            </w:r>
          </w:p>
          <w:p>
            <w:pPr>
              <w:spacing w:line="360" w:lineRule="exact"/>
              <w:jc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中后期</w:t>
            </w:r>
          </w:p>
        </w:tc>
        <w:tc>
          <w:tcPr>
            <w:tcW w:w="922" w:type="dxa"/>
            <w:vAlign w:val="center"/>
          </w:tcPr>
          <w:p>
            <w:pPr>
              <w:spacing w:line="360" w:lineRule="exact"/>
              <w:jc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工业化</w:t>
            </w:r>
          </w:p>
          <w:p>
            <w:pPr>
              <w:spacing w:line="360" w:lineRule="exact"/>
              <w:jc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中后期</w:t>
            </w:r>
          </w:p>
        </w:tc>
        <w:tc>
          <w:tcPr>
            <w:tcW w:w="923" w:type="dxa"/>
            <w:vAlign w:val="center"/>
          </w:tcPr>
          <w:p>
            <w:pPr>
              <w:spacing w:line="360" w:lineRule="exact"/>
              <w:jc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工业化</w:t>
            </w:r>
          </w:p>
          <w:p>
            <w:pPr>
              <w:spacing w:line="360" w:lineRule="exact"/>
              <w:jc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后期</w:t>
            </w:r>
          </w:p>
        </w:tc>
        <w:tc>
          <w:tcPr>
            <w:tcW w:w="923" w:type="dxa"/>
            <w:vAlign w:val="center"/>
          </w:tcPr>
          <w:p>
            <w:pPr>
              <w:spacing w:line="360" w:lineRule="exact"/>
              <w:jc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后工业化</w:t>
            </w:r>
          </w:p>
          <w:p>
            <w:pPr>
              <w:spacing w:line="360" w:lineRule="exact"/>
              <w:jc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时期</w:t>
            </w:r>
          </w:p>
        </w:tc>
      </w:tr>
    </w:tbl>
    <w:p>
      <w:pPr>
        <w:spacing w:line="320" w:lineRule="exact"/>
        <w:ind w:hanging="1"/>
        <w:rPr>
          <w:rFonts w:eastAsia="方正楷体_GBK"/>
          <w:color w:val="000000" w:themeColor="text1"/>
          <w:kern w:val="0"/>
          <w:sz w:val="18"/>
          <w:szCs w:val="18"/>
          <w14:textFill>
            <w14:solidFill>
              <w14:schemeClr w14:val="tx1"/>
            </w14:solidFill>
          </w14:textFill>
        </w:rPr>
      </w:pPr>
      <w:r>
        <w:rPr>
          <w:rFonts w:hint="eastAsia" w:eastAsia="方正楷体_GBK"/>
          <w:color w:val="000000" w:themeColor="text1"/>
          <w:kern w:val="0"/>
          <w:sz w:val="18"/>
          <w:szCs w:val="18"/>
          <w14:textFill>
            <w14:solidFill>
              <w14:schemeClr w14:val="tx1"/>
            </w14:solidFill>
          </w14:textFill>
        </w:rPr>
        <w:t>注：1. 数据来源为各地市统计局公开资料，以2020年为主。其中，标*为2019年数据，标**为2018年数据，标***为2017年数据。</w:t>
      </w:r>
    </w:p>
    <w:p>
      <w:pPr>
        <w:spacing w:line="320" w:lineRule="exact"/>
        <w:rPr>
          <w:rFonts w:eastAsia="方正楷体_GBK"/>
          <w:color w:val="000000" w:themeColor="text1"/>
          <w:kern w:val="0"/>
          <w:sz w:val="18"/>
          <w:szCs w:val="18"/>
          <w14:textFill>
            <w14:solidFill>
              <w14:schemeClr w14:val="tx1"/>
            </w14:solidFill>
          </w14:textFill>
        </w:rPr>
      </w:pPr>
      <w:r>
        <w:rPr>
          <w:rFonts w:hint="eastAsia" w:eastAsia="方正楷体_GBK"/>
          <w:color w:val="000000" w:themeColor="text1"/>
          <w:kern w:val="0"/>
          <w:sz w:val="18"/>
          <w:szCs w:val="18"/>
          <w14:textFill>
            <w14:solidFill>
              <w14:schemeClr w14:val="tx1"/>
            </w14:solidFill>
          </w14:textFill>
        </w:rPr>
        <w:t>2. 人均GDP按年度美元兑人民币平均汇率计算，2019年为1：6.8985，2020年为1：</w:t>
      </w:r>
      <w:r>
        <w:rPr>
          <w:rFonts w:eastAsia="方正楷体_GBK"/>
          <w:color w:val="000000" w:themeColor="text1"/>
          <w:kern w:val="0"/>
          <w:sz w:val="18"/>
          <w:szCs w:val="18"/>
          <w14:textFill>
            <w14:solidFill>
              <w14:schemeClr w14:val="tx1"/>
            </w14:solidFill>
          </w14:textFill>
        </w:rPr>
        <w:t>6.8974</w:t>
      </w:r>
      <w:r>
        <w:rPr>
          <w:rFonts w:hint="eastAsia" w:eastAsia="方正楷体_GBK"/>
          <w:color w:val="000000" w:themeColor="text1"/>
          <w:kern w:val="0"/>
          <w:sz w:val="18"/>
          <w:szCs w:val="18"/>
          <w14:textFill>
            <w14:solidFill>
              <w14:schemeClr w14:val="tx1"/>
            </w14:solidFill>
          </w14:textFill>
        </w:rPr>
        <w:t>。</w:t>
      </w:r>
    </w:p>
    <w:p>
      <w:pPr>
        <w:spacing w:line="320" w:lineRule="exact"/>
        <w:rPr>
          <w:rFonts w:eastAsia="方正楷体_GBK"/>
          <w:color w:val="000000" w:themeColor="text1"/>
          <w:kern w:val="0"/>
          <w:sz w:val="18"/>
          <w:szCs w:val="18"/>
          <w14:textFill>
            <w14:solidFill>
              <w14:schemeClr w14:val="tx1"/>
            </w14:solidFill>
          </w14:textFill>
        </w:rPr>
      </w:pPr>
      <w:r>
        <w:rPr>
          <w:rFonts w:hint="eastAsia" w:eastAsia="方正楷体_GBK" w:cs="Calibri"/>
          <w:color w:val="000000" w:themeColor="text1"/>
          <w:kern w:val="0"/>
          <w:sz w:val="18"/>
          <w:szCs w:val="18"/>
          <w14:textFill>
            <w14:solidFill>
              <w14:schemeClr w14:val="tx1"/>
            </w14:solidFill>
          </w14:textFill>
        </w:rPr>
        <w:t>3. A、I、S分别为第一、二、三次产业占GDP比重。</w:t>
      </w:r>
    </w:p>
    <w:p>
      <w:pPr>
        <w:pStyle w:val="8"/>
        <w:spacing w:before="156" w:beforeLines="50" w:after="0" w:line="580" w:lineRule="exact"/>
        <w:ind w:firstLine="640" w:firstLineChars="200"/>
        <w:rPr>
          <w:rFonts w:eastAsia="方正黑体_GBK"/>
          <w:b w:val="0"/>
          <w:color w:val="000000" w:themeColor="text1"/>
          <w14:textFill>
            <w14:solidFill>
              <w14:schemeClr w14:val="tx1"/>
            </w14:solidFill>
          </w14:textFill>
        </w:rPr>
      </w:pPr>
      <w:r>
        <w:rPr>
          <w:rFonts w:eastAsia="方正黑体_GBK"/>
          <w:b w:val="0"/>
          <w:color w:val="000000" w:themeColor="text1"/>
          <w14:textFill>
            <w14:solidFill>
              <w14:schemeClr w14:val="tx1"/>
            </w14:solidFill>
          </w14:textFill>
        </w:rPr>
        <w:t>一、工业规模总量偏小</w:t>
      </w:r>
    </w:p>
    <w:p>
      <w:pPr>
        <w:spacing w:line="580" w:lineRule="exact"/>
        <w:ind w:firstLine="643" w:firstLineChars="200"/>
        <w:rPr>
          <w:color w:val="000000" w:themeColor="text1"/>
          <w:sz w:val="32"/>
          <w:szCs w:val="32"/>
          <w14:textFill>
            <w14:solidFill>
              <w14:schemeClr w14:val="tx1"/>
            </w14:solidFill>
          </w14:textFill>
        </w:rPr>
      </w:pPr>
      <w:r>
        <w:rPr>
          <w:b/>
          <w:color w:val="000000" w:themeColor="text1"/>
          <w:sz w:val="32"/>
          <w:szCs w:val="32"/>
          <w14:textFill>
            <w14:solidFill>
              <w14:schemeClr w14:val="tx1"/>
            </w14:solidFill>
          </w14:textFill>
        </w:rPr>
        <w:t>从规模工业营业收入指标看</w:t>
      </w:r>
      <w:r>
        <w:rPr>
          <w:color w:val="000000" w:themeColor="text1"/>
          <w:sz w:val="32"/>
          <w:szCs w:val="32"/>
          <w14:textFill>
            <w14:solidFill>
              <w14:schemeClr w14:val="tx1"/>
            </w14:solidFill>
          </w14:textFill>
        </w:rPr>
        <w:t>，2020年全市规模工业营业收入仅占全省2.24%，比2015年下降0.26个百分点，为全省平均水平的29.1%</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占苏北五市15.4%，为苏北五市平均水平的76.9%。</w:t>
      </w:r>
      <w:r>
        <w:rPr>
          <w:b/>
          <w:color w:val="000000" w:themeColor="text1"/>
          <w:sz w:val="32"/>
          <w:szCs w:val="32"/>
          <w14:textFill>
            <w14:solidFill>
              <w14:schemeClr w14:val="tx1"/>
            </w14:solidFill>
          </w14:textFill>
        </w:rPr>
        <w:t>从工业用电量指标看</w:t>
      </w:r>
      <w:r>
        <w:rPr>
          <w:color w:val="000000" w:themeColor="text1"/>
          <w:sz w:val="32"/>
          <w:szCs w:val="32"/>
          <w14:textFill>
            <w14:solidFill>
              <w14:schemeClr w14:val="tx1"/>
            </w14:solidFill>
          </w14:textFill>
        </w:rPr>
        <w:t>，2020年工业用电量占全省3.</w:t>
      </w:r>
      <w:r>
        <w:rPr>
          <w:rFonts w:hint="eastAsia"/>
          <w:color w:val="000000" w:themeColor="text1"/>
          <w:sz w:val="32"/>
          <w:szCs w:val="32"/>
          <w14:textFill>
            <w14:solidFill>
              <w14:schemeClr w14:val="tx1"/>
            </w14:solidFill>
          </w14:textFill>
        </w:rPr>
        <w:t>3</w:t>
      </w:r>
      <w:r>
        <w:rPr>
          <w:color w:val="000000" w:themeColor="text1"/>
          <w:sz w:val="32"/>
          <w:szCs w:val="32"/>
          <w14:textFill>
            <w14:solidFill>
              <w14:schemeClr w14:val="tx1"/>
            </w14:solidFill>
          </w14:textFill>
        </w:rPr>
        <w:t>%，为全省平均水平的</w:t>
      </w:r>
      <w:r>
        <w:rPr>
          <w:rFonts w:hint="eastAsia"/>
          <w:color w:val="000000" w:themeColor="text1"/>
          <w:sz w:val="32"/>
          <w:szCs w:val="32"/>
          <w14:textFill>
            <w14:solidFill>
              <w14:schemeClr w14:val="tx1"/>
            </w14:solidFill>
          </w14:textFill>
        </w:rPr>
        <w:t>42.9</w:t>
      </w:r>
      <w:r>
        <w:rPr>
          <w:color w:val="000000" w:themeColor="text1"/>
          <w:sz w:val="32"/>
          <w:szCs w:val="32"/>
          <w14:textFill>
            <w14:solidFill>
              <w14:schemeClr w14:val="tx1"/>
            </w14:solidFill>
          </w14:textFill>
        </w:rPr>
        <w:t>%。占苏北五市17%，为苏北五市平均水平的85%。</w:t>
      </w:r>
      <w:r>
        <w:rPr>
          <w:b/>
          <w:color w:val="000000" w:themeColor="text1"/>
          <w:sz w:val="32"/>
          <w:szCs w:val="32"/>
          <w14:textFill>
            <w14:solidFill>
              <w14:schemeClr w14:val="tx1"/>
            </w14:solidFill>
          </w14:textFill>
        </w:rPr>
        <w:t>从规上工业企业数量指标看</w:t>
      </w:r>
      <w:r>
        <w:rPr>
          <w:color w:val="000000" w:themeColor="text1"/>
          <w:sz w:val="32"/>
          <w:szCs w:val="32"/>
          <w14:textFill>
            <w14:solidFill>
              <w14:schemeClr w14:val="tx1"/>
            </w14:solidFill>
          </w14:textFill>
        </w:rPr>
        <w:t>，20</w:t>
      </w:r>
      <w:r>
        <w:rPr>
          <w:rFonts w:hint="eastAsia"/>
          <w:color w:val="000000" w:themeColor="text1"/>
          <w:sz w:val="32"/>
          <w:szCs w:val="32"/>
          <w14:textFill>
            <w14:solidFill>
              <w14:schemeClr w14:val="tx1"/>
            </w14:solidFill>
          </w14:textFill>
        </w:rPr>
        <w:t>20</w:t>
      </w:r>
      <w:r>
        <w:rPr>
          <w:color w:val="000000" w:themeColor="text1"/>
          <w:sz w:val="32"/>
          <w:szCs w:val="32"/>
          <w14:textFill>
            <w14:solidFill>
              <w14:schemeClr w14:val="tx1"/>
            </w14:solidFill>
          </w14:textFill>
        </w:rPr>
        <w:t>年仅占全省3.5%，为全省平均水平的44.9%。占苏北五市17%，为苏北五市平均水平的85.2%。</w:t>
      </w:r>
    </w:p>
    <w:p>
      <w:pPr>
        <w:spacing w:before="78" w:beforeLines="25" w:line="580" w:lineRule="exact"/>
        <w:ind w:firstLine="560"/>
        <w:jc w:val="center"/>
        <w:rPr>
          <w:rFonts w:eastAsia="方正黑体_GBK"/>
          <w:color w:val="000000" w:themeColor="text1"/>
          <w:sz w:val="28"/>
          <w:szCs w:val="30"/>
          <w14:textFill>
            <w14:solidFill>
              <w14:schemeClr w14:val="tx1"/>
            </w14:solidFill>
          </w14:textFill>
        </w:rPr>
      </w:pPr>
      <w:r>
        <w:rPr>
          <w:rFonts w:eastAsia="方正黑体_GBK"/>
          <w:color w:val="000000" w:themeColor="text1"/>
          <w:sz w:val="28"/>
          <w:szCs w:val="30"/>
          <w14:textFill>
            <w14:solidFill>
              <w14:schemeClr w14:val="tx1"/>
            </w14:solidFill>
          </w14:textFill>
        </w:rPr>
        <w:t>全市工业主要经济指标2020年对比表</w:t>
      </w:r>
      <w:r>
        <w:rPr>
          <w:rFonts w:hint="eastAsia" w:eastAsia="方正黑体_GBK"/>
          <w:color w:val="000000" w:themeColor="text1"/>
          <w:sz w:val="28"/>
          <w:szCs w:val="30"/>
          <w14:textFill>
            <w14:solidFill>
              <w14:schemeClr w14:val="tx1"/>
            </w14:solidFill>
          </w14:textFill>
        </w:rPr>
        <w:t>（表五）</w:t>
      </w:r>
    </w:p>
    <w:tbl>
      <w:tblPr>
        <w:tblStyle w:val="50"/>
        <w:tblW w:w="9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049"/>
        <w:gridCol w:w="1049"/>
        <w:gridCol w:w="1048"/>
        <w:gridCol w:w="1049"/>
        <w:gridCol w:w="1049"/>
        <w:gridCol w:w="1048"/>
        <w:gridCol w:w="1049"/>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46" w:type="dxa"/>
            <w:gridSpan w:val="3"/>
            <w:vAlign w:val="center"/>
          </w:tcPr>
          <w:p>
            <w:pPr>
              <w:spacing w:line="440" w:lineRule="exact"/>
              <w:jc w:val="center"/>
              <w:rPr>
                <w:rFonts w:eastAsia="方正黑体_GBK" w:cstheme="minorBidi"/>
                <w:color w:val="000000" w:themeColor="text1"/>
                <w:kern w:val="0"/>
                <w:sz w:val="20"/>
                <w:szCs w:val="21"/>
                <w14:textFill>
                  <w14:solidFill>
                    <w14:schemeClr w14:val="tx1"/>
                  </w14:solidFill>
                </w14:textFill>
              </w:rPr>
            </w:pPr>
            <w:r>
              <w:rPr>
                <w:rFonts w:eastAsia="方正黑体_GBK" w:cstheme="minorBidi"/>
                <w:color w:val="000000" w:themeColor="text1"/>
                <w:kern w:val="0"/>
                <w:sz w:val="20"/>
                <w:szCs w:val="21"/>
                <w14:textFill>
                  <w14:solidFill>
                    <w14:schemeClr w14:val="tx1"/>
                  </w14:solidFill>
                </w14:textFill>
              </w:rPr>
              <w:t>规模工业营业收入</w:t>
            </w:r>
          </w:p>
        </w:tc>
        <w:tc>
          <w:tcPr>
            <w:tcW w:w="3146" w:type="dxa"/>
            <w:gridSpan w:val="3"/>
            <w:vAlign w:val="center"/>
          </w:tcPr>
          <w:p>
            <w:pPr>
              <w:spacing w:line="440" w:lineRule="exact"/>
              <w:jc w:val="center"/>
              <w:rPr>
                <w:rFonts w:eastAsia="方正黑体_GBK" w:cstheme="minorBidi"/>
                <w:color w:val="000000" w:themeColor="text1"/>
                <w:kern w:val="0"/>
                <w:sz w:val="20"/>
                <w:szCs w:val="21"/>
                <w14:textFill>
                  <w14:solidFill>
                    <w14:schemeClr w14:val="tx1"/>
                  </w14:solidFill>
                </w14:textFill>
              </w:rPr>
            </w:pPr>
            <w:r>
              <w:rPr>
                <w:rFonts w:eastAsia="方正黑体_GBK" w:cstheme="minorBidi"/>
                <w:color w:val="000000" w:themeColor="text1"/>
                <w:kern w:val="0"/>
                <w:sz w:val="20"/>
                <w:szCs w:val="21"/>
                <w14:textFill>
                  <w14:solidFill>
                    <w14:schemeClr w14:val="tx1"/>
                  </w14:solidFill>
                </w14:textFill>
              </w:rPr>
              <w:t>工业用电量</w:t>
            </w:r>
          </w:p>
        </w:tc>
        <w:tc>
          <w:tcPr>
            <w:tcW w:w="3146" w:type="dxa"/>
            <w:gridSpan w:val="3"/>
            <w:vAlign w:val="center"/>
          </w:tcPr>
          <w:p>
            <w:pPr>
              <w:spacing w:line="440" w:lineRule="exact"/>
              <w:jc w:val="center"/>
              <w:rPr>
                <w:rFonts w:eastAsia="方正黑体_GBK" w:cstheme="minorBidi"/>
                <w:color w:val="000000" w:themeColor="text1"/>
                <w:kern w:val="0"/>
                <w:sz w:val="20"/>
                <w:szCs w:val="21"/>
                <w14:textFill>
                  <w14:solidFill>
                    <w14:schemeClr w14:val="tx1"/>
                  </w14:solidFill>
                </w14:textFill>
              </w:rPr>
            </w:pPr>
            <w:r>
              <w:rPr>
                <w:rFonts w:eastAsia="方正黑体_GBK" w:cstheme="minorBidi"/>
                <w:color w:val="000000" w:themeColor="text1"/>
                <w:kern w:val="0"/>
                <w:sz w:val="20"/>
                <w:szCs w:val="21"/>
                <w14:textFill>
                  <w14:solidFill>
                    <w14:schemeClr w14:val="tx1"/>
                  </w14:solidFill>
                </w14:textFill>
              </w:rPr>
              <w:t>规模企业数量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8" w:type="dxa"/>
            <w:vAlign w:val="center"/>
          </w:tcPr>
          <w:p>
            <w:pPr>
              <w:spacing w:line="440" w:lineRule="exact"/>
              <w:jc w:val="center"/>
              <w:rPr>
                <w:rFonts w:eastAsia="方正楷体_GBK" w:cstheme="minorBidi"/>
                <w:color w:val="000000" w:themeColor="text1"/>
                <w:kern w:val="0"/>
                <w:sz w:val="20"/>
                <w:szCs w:val="21"/>
                <w14:textFill>
                  <w14:solidFill>
                    <w14:schemeClr w14:val="tx1"/>
                  </w14:solidFill>
                </w14:textFill>
              </w:rPr>
            </w:pPr>
            <w:r>
              <w:rPr>
                <w:rFonts w:eastAsia="方正楷体_GBK" w:cstheme="minorBidi"/>
                <w:color w:val="000000" w:themeColor="text1"/>
                <w:kern w:val="0"/>
                <w:sz w:val="20"/>
                <w:szCs w:val="21"/>
                <w14:textFill>
                  <w14:solidFill>
                    <w14:schemeClr w14:val="tx1"/>
                  </w14:solidFill>
                </w14:textFill>
              </w:rPr>
              <w:t>占全省</w:t>
            </w:r>
          </w:p>
        </w:tc>
        <w:tc>
          <w:tcPr>
            <w:tcW w:w="1049" w:type="dxa"/>
            <w:vAlign w:val="center"/>
          </w:tcPr>
          <w:p>
            <w:pPr>
              <w:spacing w:line="440" w:lineRule="exact"/>
              <w:jc w:val="center"/>
              <w:rPr>
                <w:rFonts w:eastAsia="方正楷体_GBK" w:cstheme="minorBidi"/>
                <w:color w:val="000000" w:themeColor="text1"/>
                <w:spacing w:val="-18"/>
                <w:kern w:val="0"/>
                <w:sz w:val="20"/>
                <w:szCs w:val="21"/>
                <w14:textFill>
                  <w14:solidFill>
                    <w14:schemeClr w14:val="tx1"/>
                  </w14:solidFill>
                </w14:textFill>
              </w:rPr>
            </w:pPr>
            <w:r>
              <w:rPr>
                <w:rFonts w:eastAsia="方正楷体_GBK" w:cstheme="minorBidi"/>
                <w:color w:val="000000" w:themeColor="text1"/>
                <w:spacing w:val="-18"/>
                <w:kern w:val="0"/>
                <w:sz w:val="20"/>
                <w:szCs w:val="21"/>
                <w14:textFill>
                  <w14:solidFill>
                    <w14:schemeClr w14:val="tx1"/>
                  </w14:solidFill>
                </w14:textFill>
              </w:rPr>
              <w:t>占全省平均</w:t>
            </w:r>
          </w:p>
        </w:tc>
        <w:tc>
          <w:tcPr>
            <w:tcW w:w="1049" w:type="dxa"/>
            <w:vAlign w:val="center"/>
          </w:tcPr>
          <w:p>
            <w:pPr>
              <w:spacing w:line="440" w:lineRule="exact"/>
              <w:jc w:val="center"/>
              <w:rPr>
                <w:rFonts w:eastAsia="方正楷体_GBK" w:cstheme="minorBidi"/>
                <w:color w:val="000000" w:themeColor="text1"/>
                <w:spacing w:val="-18"/>
                <w:kern w:val="0"/>
                <w:sz w:val="20"/>
                <w:szCs w:val="21"/>
                <w14:textFill>
                  <w14:solidFill>
                    <w14:schemeClr w14:val="tx1"/>
                  </w14:solidFill>
                </w14:textFill>
              </w:rPr>
            </w:pPr>
            <w:r>
              <w:rPr>
                <w:rFonts w:eastAsia="方正楷体_GBK" w:cstheme="minorBidi"/>
                <w:color w:val="000000" w:themeColor="text1"/>
                <w:spacing w:val="-18"/>
                <w:kern w:val="0"/>
                <w:sz w:val="20"/>
                <w:szCs w:val="21"/>
                <w14:textFill>
                  <w14:solidFill>
                    <w14:schemeClr w14:val="tx1"/>
                  </w14:solidFill>
                </w14:textFill>
              </w:rPr>
              <w:t>占苏北总量</w:t>
            </w:r>
          </w:p>
        </w:tc>
        <w:tc>
          <w:tcPr>
            <w:tcW w:w="1048" w:type="dxa"/>
            <w:vAlign w:val="center"/>
          </w:tcPr>
          <w:p>
            <w:pPr>
              <w:spacing w:line="440" w:lineRule="exact"/>
              <w:jc w:val="center"/>
              <w:rPr>
                <w:rFonts w:eastAsia="方正楷体_GBK" w:cstheme="minorBidi"/>
                <w:color w:val="000000" w:themeColor="text1"/>
                <w:kern w:val="0"/>
                <w:sz w:val="20"/>
                <w:szCs w:val="21"/>
                <w14:textFill>
                  <w14:solidFill>
                    <w14:schemeClr w14:val="tx1"/>
                  </w14:solidFill>
                </w14:textFill>
              </w:rPr>
            </w:pPr>
            <w:r>
              <w:rPr>
                <w:rFonts w:eastAsia="方正楷体_GBK" w:cstheme="minorBidi"/>
                <w:color w:val="000000" w:themeColor="text1"/>
                <w:kern w:val="0"/>
                <w:sz w:val="20"/>
                <w:szCs w:val="21"/>
                <w14:textFill>
                  <w14:solidFill>
                    <w14:schemeClr w14:val="tx1"/>
                  </w14:solidFill>
                </w14:textFill>
              </w:rPr>
              <w:t>占全省</w:t>
            </w:r>
          </w:p>
        </w:tc>
        <w:tc>
          <w:tcPr>
            <w:tcW w:w="1049" w:type="dxa"/>
            <w:vAlign w:val="center"/>
          </w:tcPr>
          <w:p>
            <w:pPr>
              <w:spacing w:line="440" w:lineRule="exact"/>
              <w:jc w:val="center"/>
              <w:rPr>
                <w:rFonts w:eastAsia="方正楷体_GBK" w:cstheme="minorBidi"/>
                <w:color w:val="000000" w:themeColor="text1"/>
                <w:spacing w:val="-18"/>
                <w:kern w:val="0"/>
                <w:sz w:val="20"/>
                <w:szCs w:val="21"/>
                <w14:textFill>
                  <w14:solidFill>
                    <w14:schemeClr w14:val="tx1"/>
                  </w14:solidFill>
                </w14:textFill>
              </w:rPr>
            </w:pPr>
            <w:r>
              <w:rPr>
                <w:rFonts w:eastAsia="方正楷体_GBK" w:cstheme="minorBidi"/>
                <w:color w:val="000000" w:themeColor="text1"/>
                <w:spacing w:val="-18"/>
                <w:kern w:val="0"/>
                <w:sz w:val="20"/>
                <w:szCs w:val="21"/>
                <w14:textFill>
                  <w14:solidFill>
                    <w14:schemeClr w14:val="tx1"/>
                  </w14:solidFill>
                </w14:textFill>
              </w:rPr>
              <w:t>占全省平均</w:t>
            </w:r>
          </w:p>
        </w:tc>
        <w:tc>
          <w:tcPr>
            <w:tcW w:w="1049" w:type="dxa"/>
            <w:vAlign w:val="center"/>
          </w:tcPr>
          <w:p>
            <w:pPr>
              <w:spacing w:line="440" w:lineRule="exact"/>
              <w:jc w:val="center"/>
              <w:rPr>
                <w:rFonts w:eastAsia="方正楷体_GBK" w:cstheme="minorBidi"/>
                <w:color w:val="000000" w:themeColor="text1"/>
                <w:spacing w:val="-18"/>
                <w:kern w:val="0"/>
                <w:sz w:val="20"/>
                <w:szCs w:val="21"/>
                <w14:textFill>
                  <w14:solidFill>
                    <w14:schemeClr w14:val="tx1"/>
                  </w14:solidFill>
                </w14:textFill>
              </w:rPr>
            </w:pPr>
            <w:r>
              <w:rPr>
                <w:rFonts w:eastAsia="方正楷体_GBK" w:cstheme="minorBidi"/>
                <w:color w:val="000000" w:themeColor="text1"/>
                <w:spacing w:val="-18"/>
                <w:kern w:val="0"/>
                <w:sz w:val="20"/>
                <w:szCs w:val="21"/>
                <w14:textFill>
                  <w14:solidFill>
                    <w14:schemeClr w14:val="tx1"/>
                  </w14:solidFill>
                </w14:textFill>
              </w:rPr>
              <w:t>占苏北总量</w:t>
            </w:r>
          </w:p>
        </w:tc>
        <w:tc>
          <w:tcPr>
            <w:tcW w:w="1048" w:type="dxa"/>
            <w:vAlign w:val="center"/>
          </w:tcPr>
          <w:p>
            <w:pPr>
              <w:spacing w:line="440" w:lineRule="exact"/>
              <w:jc w:val="center"/>
              <w:rPr>
                <w:rFonts w:eastAsia="方正楷体_GBK" w:cstheme="minorBidi"/>
                <w:color w:val="000000" w:themeColor="text1"/>
                <w:kern w:val="0"/>
                <w:sz w:val="20"/>
                <w:szCs w:val="21"/>
                <w14:textFill>
                  <w14:solidFill>
                    <w14:schemeClr w14:val="tx1"/>
                  </w14:solidFill>
                </w14:textFill>
              </w:rPr>
            </w:pPr>
            <w:r>
              <w:rPr>
                <w:rFonts w:eastAsia="方正楷体_GBK" w:cstheme="minorBidi"/>
                <w:color w:val="000000" w:themeColor="text1"/>
                <w:kern w:val="0"/>
                <w:sz w:val="20"/>
                <w:szCs w:val="21"/>
                <w14:textFill>
                  <w14:solidFill>
                    <w14:schemeClr w14:val="tx1"/>
                  </w14:solidFill>
                </w14:textFill>
              </w:rPr>
              <w:t>占全省</w:t>
            </w:r>
          </w:p>
        </w:tc>
        <w:tc>
          <w:tcPr>
            <w:tcW w:w="1049" w:type="dxa"/>
            <w:vAlign w:val="center"/>
          </w:tcPr>
          <w:p>
            <w:pPr>
              <w:spacing w:line="440" w:lineRule="exact"/>
              <w:jc w:val="center"/>
              <w:rPr>
                <w:rFonts w:eastAsia="方正楷体_GBK" w:cstheme="minorBidi"/>
                <w:color w:val="000000" w:themeColor="text1"/>
                <w:spacing w:val="-18"/>
                <w:kern w:val="0"/>
                <w:sz w:val="20"/>
                <w:szCs w:val="21"/>
                <w14:textFill>
                  <w14:solidFill>
                    <w14:schemeClr w14:val="tx1"/>
                  </w14:solidFill>
                </w14:textFill>
              </w:rPr>
            </w:pPr>
            <w:r>
              <w:rPr>
                <w:rFonts w:eastAsia="方正楷体_GBK" w:cstheme="minorBidi"/>
                <w:color w:val="000000" w:themeColor="text1"/>
                <w:spacing w:val="-18"/>
                <w:kern w:val="0"/>
                <w:sz w:val="20"/>
                <w:szCs w:val="21"/>
                <w14:textFill>
                  <w14:solidFill>
                    <w14:schemeClr w14:val="tx1"/>
                  </w14:solidFill>
                </w14:textFill>
              </w:rPr>
              <w:t>占全省平均</w:t>
            </w:r>
          </w:p>
        </w:tc>
        <w:tc>
          <w:tcPr>
            <w:tcW w:w="1049" w:type="dxa"/>
            <w:vAlign w:val="center"/>
          </w:tcPr>
          <w:p>
            <w:pPr>
              <w:spacing w:line="440" w:lineRule="exact"/>
              <w:jc w:val="center"/>
              <w:rPr>
                <w:rFonts w:eastAsia="方正楷体_GBK" w:cstheme="minorBidi"/>
                <w:color w:val="000000" w:themeColor="text1"/>
                <w:spacing w:val="-18"/>
                <w:kern w:val="0"/>
                <w:sz w:val="20"/>
                <w:szCs w:val="21"/>
                <w14:textFill>
                  <w14:solidFill>
                    <w14:schemeClr w14:val="tx1"/>
                  </w14:solidFill>
                </w14:textFill>
              </w:rPr>
            </w:pPr>
            <w:r>
              <w:rPr>
                <w:rFonts w:eastAsia="方正楷体_GBK" w:cstheme="minorBidi"/>
                <w:color w:val="000000" w:themeColor="text1"/>
                <w:spacing w:val="-18"/>
                <w:kern w:val="0"/>
                <w:sz w:val="20"/>
                <w:szCs w:val="21"/>
                <w14:textFill>
                  <w14:solidFill>
                    <w14:schemeClr w14:val="tx1"/>
                  </w14:solidFill>
                </w14:textFill>
              </w:rPr>
              <w:t>占苏北总量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048" w:type="dxa"/>
            <w:vAlign w:val="center"/>
          </w:tcPr>
          <w:p>
            <w:pPr>
              <w:spacing w:line="44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2.24%</w:t>
            </w:r>
          </w:p>
        </w:tc>
        <w:tc>
          <w:tcPr>
            <w:tcW w:w="1049" w:type="dxa"/>
            <w:vAlign w:val="center"/>
          </w:tcPr>
          <w:p>
            <w:pPr>
              <w:spacing w:line="44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29.1%</w:t>
            </w:r>
          </w:p>
        </w:tc>
        <w:tc>
          <w:tcPr>
            <w:tcW w:w="1049" w:type="dxa"/>
            <w:vAlign w:val="center"/>
          </w:tcPr>
          <w:p>
            <w:pPr>
              <w:spacing w:line="440" w:lineRule="exact"/>
              <w:jc w:val="center"/>
              <w:rPr>
                <w:rFonts w:eastAsiaTheme="minorEastAsia" w:cstheme="minorBidi"/>
                <w:color w:val="000000" w:themeColor="text1"/>
                <w:kern w:val="0"/>
                <w:sz w:val="20"/>
                <w:szCs w:val="21"/>
                <w14:textFill>
                  <w14:solidFill>
                    <w14:schemeClr w14:val="tx1"/>
                  </w14:solidFill>
                </w14:textFill>
              </w:rPr>
            </w:pPr>
            <w:r>
              <w:rPr>
                <w:rFonts w:hint="eastAsia" w:eastAsiaTheme="minorEastAsia" w:cstheme="minorBidi"/>
                <w:color w:val="000000" w:themeColor="text1"/>
                <w:kern w:val="0"/>
                <w:sz w:val="20"/>
                <w:szCs w:val="21"/>
                <w14:textFill>
                  <w14:solidFill>
                    <w14:schemeClr w14:val="tx1"/>
                  </w14:solidFill>
                </w14:textFill>
              </w:rPr>
              <w:t>15</w:t>
            </w:r>
            <w:r>
              <w:rPr>
                <w:rFonts w:eastAsiaTheme="minorEastAsia" w:cstheme="minorBidi"/>
                <w:color w:val="000000" w:themeColor="text1"/>
                <w:kern w:val="0"/>
                <w:sz w:val="20"/>
                <w:szCs w:val="21"/>
                <w14:textFill>
                  <w14:solidFill>
                    <w14:schemeClr w14:val="tx1"/>
                  </w14:solidFill>
                </w14:textFill>
              </w:rPr>
              <w:t>.</w:t>
            </w:r>
            <w:r>
              <w:rPr>
                <w:rFonts w:hint="eastAsia" w:eastAsiaTheme="minorEastAsia" w:cstheme="minorBidi"/>
                <w:color w:val="000000" w:themeColor="text1"/>
                <w:kern w:val="0"/>
                <w:sz w:val="20"/>
                <w:szCs w:val="21"/>
                <w14:textFill>
                  <w14:solidFill>
                    <w14:schemeClr w14:val="tx1"/>
                  </w14:solidFill>
                </w14:textFill>
              </w:rPr>
              <w:t>4</w:t>
            </w:r>
            <w:r>
              <w:rPr>
                <w:rFonts w:eastAsiaTheme="minorEastAsia" w:cstheme="minorBidi"/>
                <w:color w:val="000000" w:themeColor="text1"/>
                <w:kern w:val="0"/>
                <w:sz w:val="20"/>
                <w:szCs w:val="21"/>
                <w14:textFill>
                  <w14:solidFill>
                    <w14:schemeClr w14:val="tx1"/>
                  </w14:solidFill>
                </w14:textFill>
              </w:rPr>
              <w:t>%</w:t>
            </w:r>
          </w:p>
        </w:tc>
        <w:tc>
          <w:tcPr>
            <w:tcW w:w="1048" w:type="dxa"/>
            <w:vAlign w:val="center"/>
          </w:tcPr>
          <w:p>
            <w:pPr>
              <w:spacing w:line="44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3.1%</w:t>
            </w:r>
          </w:p>
        </w:tc>
        <w:tc>
          <w:tcPr>
            <w:tcW w:w="1049" w:type="dxa"/>
            <w:vAlign w:val="center"/>
          </w:tcPr>
          <w:p>
            <w:pPr>
              <w:spacing w:line="44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42.9%</w:t>
            </w:r>
          </w:p>
        </w:tc>
        <w:tc>
          <w:tcPr>
            <w:tcW w:w="1049" w:type="dxa"/>
            <w:vAlign w:val="center"/>
          </w:tcPr>
          <w:p>
            <w:pPr>
              <w:spacing w:line="44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17%</w:t>
            </w:r>
          </w:p>
        </w:tc>
        <w:tc>
          <w:tcPr>
            <w:tcW w:w="1048" w:type="dxa"/>
            <w:vAlign w:val="center"/>
          </w:tcPr>
          <w:p>
            <w:pPr>
              <w:spacing w:line="44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3.5%</w:t>
            </w:r>
          </w:p>
        </w:tc>
        <w:tc>
          <w:tcPr>
            <w:tcW w:w="1049" w:type="dxa"/>
            <w:vAlign w:val="center"/>
          </w:tcPr>
          <w:p>
            <w:pPr>
              <w:spacing w:line="44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44.9%</w:t>
            </w:r>
          </w:p>
        </w:tc>
        <w:tc>
          <w:tcPr>
            <w:tcW w:w="1049" w:type="dxa"/>
            <w:vAlign w:val="center"/>
          </w:tcPr>
          <w:p>
            <w:pPr>
              <w:spacing w:line="44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17%</w:t>
            </w:r>
          </w:p>
        </w:tc>
      </w:tr>
    </w:tbl>
    <w:p>
      <w:pPr>
        <w:pStyle w:val="8"/>
        <w:spacing w:before="156" w:beforeLines="50" w:after="0" w:line="580" w:lineRule="exact"/>
        <w:ind w:firstLine="640" w:firstLineChars="200"/>
        <w:rPr>
          <w:rFonts w:eastAsia="方正黑体_GBK"/>
          <w:b w:val="0"/>
          <w:color w:val="000000" w:themeColor="text1"/>
          <w14:textFill>
            <w14:solidFill>
              <w14:schemeClr w14:val="tx1"/>
            </w14:solidFill>
          </w14:textFill>
        </w:rPr>
      </w:pPr>
      <w:r>
        <w:rPr>
          <w:rFonts w:eastAsia="方正黑体_GBK"/>
          <w:b w:val="0"/>
          <w:color w:val="000000" w:themeColor="text1"/>
          <w14:textFill>
            <w14:solidFill>
              <w14:schemeClr w14:val="tx1"/>
            </w14:solidFill>
          </w14:textFill>
        </w:rPr>
        <w:t>二、产业</w:t>
      </w:r>
      <w:r>
        <w:rPr>
          <w:rFonts w:hint="eastAsia" w:eastAsia="方正黑体_GBK"/>
          <w:b w:val="0"/>
          <w:color w:val="000000" w:themeColor="text1"/>
          <w14:textFill>
            <w14:solidFill>
              <w14:schemeClr w14:val="tx1"/>
            </w14:solidFill>
          </w14:textFill>
        </w:rPr>
        <w:t>层次偏低</w:t>
      </w:r>
    </w:p>
    <w:p>
      <w:pPr>
        <w:spacing w:line="580" w:lineRule="exact"/>
        <w:ind w:firstLine="643" w:firstLineChars="200"/>
        <w:rPr>
          <w:color w:val="000000" w:themeColor="text1"/>
          <w:sz w:val="32"/>
          <w:szCs w:val="32"/>
          <w14:textFill>
            <w14:solidFill>
              <w14:schemeClr w14:val="tx1"/>
            </w14:solidFill>
          </w14:textFill>
        </w:rPr>
      </w:pPr>
      <w:r>
        <w:rPr>
          <w:b/>
          <w:color w:val="000000" w:themeColor="text1"/>
          <w:sz w:val="32"/>
          <w:szCs w:val="32"/>
          <w14:textFill>
            <w14:solidFill>
              <w14:schemeClr w14:val="tx1"/>
            </w14:solidFill>
          </w14:textFill>
        </w:rPr>
        <w:t>一是</w:t>
      </w:r>
      <w:r>
        <w:rPr>
          <w:rFonts w:hint="eastAsia"/>
          <w:b/>
          <w:color w:val="000000" w:themeColor="text1"/>
          <w:sz w:val="32"/>
          <w:szCs w:val="32"/>
          <w14:textFill>
            <w14:solidFill>
              <w14:schemeClr w14:val="tx1"/>
            </w14:solidFill>
          </w14:textFill>
        </w:rPr>
        <w:t>高附加值、高成长性的</w:t>
      </w:r>
      <w:r>
        <w:rPr>
          <w:b/>
          <w:color w:val="000000" w:themeColor="text1"/>
          <w:sz w:val="32"/>
          <w:szCs w:val="32"/>
          <w14:textFill>
            <w14:solidFill>
              <w14:schemeClr w14:val="tx1"/>
            </w14:solidFill>
          </w14:textFill>
        </w:rPr>
        <w:t>新兴产业发展相对滞后</w:t>
      </w:r>
      <w:r>
        <w:rPr>
          <w:color w:val="000000" w:themeColor="text1"/>
          <w:sz w:val="32"/>
          <w:szCs w:val="32"/>
          <w14:textFill>
            <w14:solidFill>
              <w14:schemeClr w14:val="tx1"/>
            </w14:solidFill>
          </w14:textFill>
        </w:rPr>
        <w:t>。2020年，</w:t>
      </w:r>
      <w:r>
        <w:rPr>
          <w:rFonts w:hint="eastAsia"/>
          <w:color w:val="000000" w:themeColor="text1"/>
          <w:sz w:val="32"/>
          <w:szCs w:val="32"/>
          <w14:textFill>
            <w14:solidFill>
              <w14:schemeClr w14:val="tx1"/>
            </w14:solidFill>
          </w14:textFill>
        </w:rPr>
        <w:t>我市</w:t>
      </w:r>
      <w:r>
        <w:rPr>
          <w:color w:val="000000" w:themeColor="text1"/>
          <w:sz w:val="32"/>
          <w:szCs w:val="32"/>
          <w14:textFill>
            <w14:solidFill>
              <w14:schemeClr w14:val="tx1"/>
            </w14:solidFill>
          </w14:textFill>
        </w:rPr>
        <w:t>主导产业仍以传统产业为主，纺织服装、食品饮料、家居制造、绿色建材</w:t>
      </w:r>
      <w:r>
        <w:rPr>
          <w:rFonts w:hint="eastAsia"/>
          <w:color w:val="000000" w:themeColor="text1"/>
          <w:sz w:val="32"/>
          <w:szCs w:val="32"/>
          <w14:textFill>
            <w14:solidFill>
              <w14:schemeClr w14:val="tx1"/>
            </w14:solidFill>
          </w14:textFill>
        </w:rPr>
        <w:t>等附加值相对较低的</w:t>
      </w:r>
      <w:r>
        <w:rPr>
          <w:color w:val="000000" w:themeColor="text1"/>
          <w:sz w:val="32"/>
          <w:szCs w:val="32"/>
          <w14:textFill>
            <w14:solidFill>
              <w14:schemeClr w14:val="tx1"/>
            </w14:solidFill>
          </w14:textFill>
        </w:rPr>
        <w:t>产业</w:t>
      </w:r>
      <w:r>
        <w:rPr>
          <w:rFonts w:hint="eastAsia"/>
          <w:color w:val="000000" w:themeColor="text1"/>
          <w:sz w:val="32"/>
          <w:szCs w:val="32"/>
          <w14:textFill>
            <w14:solidFill>
              <w14:schemeClr w14:val="tx1"/>
            </w14:solidFill>
          </w14:textFill>
        </w:rPr>
        <w:t>产值</w:t>
      </w:r>
      <w:r>
        <w:rPr>
          <w:color w:val="000000" w:themeColor="text1"/>
          <w:sz w:val="32"/>
          <w:szCs w:val="32"/>
          <w14:textFill>
            <w14:solidFill>
              <w14:schemeClr w14:val="tx1"/>
            </w14:solidFill>
          </w14:textFill>
        </w:rPr>
        <w:t>占规模工业比重高达</w:t>
      </w:r>
      <w:r>
        <w:rPr>
          <w:rFonts w:hint="eastAsia"/>
          <w:color w:val="000000" w:themeColor="text1"/>
          <w:sz w:val="32"/>
          <w:szCs w:val="32"/>
          <w14:textFill>
            <w14:solidFill>
              <w14:schemeClr w14:val="tx1"/>
            </w14:solidFill>
          </w14:textFill>
        </w:rPr>
        <w:t>82</w:t>
      </w:r>
      <w:r>
        <w:rPr>
          <w:color w:val="000000" w:themeColor="text1"/>
          <w:sz w:val="32"/>
          <w:szCs w:val="32"/>
          <w14:textFill>
            <w14:solidFill>
              <w14:schemeClr w14:val="tx1"/>
            </w14:solidFill>
          </w14:textFill>
        </w:rPr>
        <w:t>%</w:t>
      </w:r>
      <w:r>
        <w:rPr>
          <w:rFonts w:hint="eastAsia"/>
          <w:color w:val="000000" w:themeColor="text1"/>
          <w:sz w:val="32"/>
          <w:szCs w:val="32"/>
          <w14:textFill>
            <w14:solidFill>
              <w14:schemeClr w14:val="tx1"/>
            </w14:solidFill>
          </w14:textFill>
        </w:rPr>
        <w:t>；高新技术产业、战略性新兴产业产值占</w:t>
      </w:r>
      <w:r>
        <w:rPr>
          <w:color w:val="000000" w:themeColor="text1"/>
          <w:sz w:val="32"/>
          <w:szCs w:val="32"/>
          <w14:textFill>
            <w14:solidFill>
              <w14:schemeClr w14:val="tx1"/>
            </w14:solidFill>
          </w14:textFill>
        </w:rPr>
        <w:t>规模</w:t>
      </w:r>
      <w:r>
        <w:rPr>
          <w:rFonts w:hint="eastAsia"/>
          <w:color w:val="000000" w:themeColor="text1"/>
          <w:sz w:val="32"/>
          <w:szCs w:val="32"/>
          <w14:textFill>
            <w14:solidFill>
              <w14:schemeClr w14:val="tx1"/>
            </w14:solidFill>
          </w14:textFill>
        </w:rPr>
        <w:t>工业比重仅分别为31.6%、34.5%，分别</w:t>
      </w:r>
      <w:r>
        <w:rPr>
          <w:color w:val="000000" w:themeColor="text1"/>
          <w:sz w:val="32"/>
          <w:szCs w:val="32"/>
          <w14:textFill>
            <w14:solidFill>
              <w14:schemeClr w14:val="tx1"/>
            </w14:solidFill>
          </w14:textFill>
        </w:rPr>
        <w:t>比全省平均水平低</w:t>
      </w:r>
      <w:r>
        <w:rPr>
          <w:rFonts w:hint="eastAsia"/>
          <w:color w:val="000000" w:themeColor="text1"/>
          <w:sz w:val="32"/>
          <w:szCs w:val="32"/>
          <w14:textFill>
            <w14:solidFill>
              <w14:schemeClr w14:val="tx1"/>
            </w14:solidFill>
          </w14:textFill>
        </w:rPr>
        <w:t>14.9、3.3</w:t>
      </w:r>
      <w:r>
        <w:rPr>
          <w:color w:val="000000" w:themeColor="text1"/>
          <w:sz w:val="32"/>
          <w:szCs w:val="32"/>
          <w14:textFill>
            <w14:solidFill>
              <w14:schemeClr w14:val="tx1"/>
            </w14:solidFill>
          </w14:textFill>
        </w:rPr>
        <w:t>个百分点。</w:t>
      </w:r>
      <w:r>
        <w:rPr>
          <w:rFonts w:hint="eastAsia"/>
          <w:b/>
          <w:bCs/>
          <w:color w:val="000000" w:themeColor="text1"/>
          <w:sz w:val="32"/>
          <w:szCs w:val="32"/>
          <w14:textFill>
            <w14:solidFill>
              <w14:schemeClr w14:val="tx1"/>
            </w14:solidFill>
          </w14:textFill>
        </w:rPr>
        <w:t>二是产业总体偏中低端</w:t>
      </w:r>
      <w:r>
        <w:rPr>
          <w:b/>
          <w:bCs/>
          <w:color w:val="000000" w:themeColor="text1"/>
          <w:sz w:val="32"/>
          <w:szCs w:val="32"/>
          <w14:textFill>
            <w14:solidFill>
              <w14:schemeClr w14:val="tx1"/>
            </w14:solidFill>
          </w14:textFill>
        </w:rPr>
        <w:t>。</w:t>
      </w:r>
      <w:r>
        <w:rPr>
          <w:rFonts w:hint="eastAsia"/>
          <w:bCs/>
          <w:color w:val="000000" w:themeColor="text1"/>
          <w:sz w:val="32"/>
          <w:szCs w:val="32"/>
          <w14:textFill>
            <w14:solidFill>
              <w14:schemeClr w14:val="tx1"/>
            </w14:solidFill>
          </w14:textFill>
        </w:rPr>
        <w:t>我市仅</w:t>
      </w:r>
      <w:r>
        <w:rPr>
          <w:color w:val="000000" w:themeColor="text1"/>
          <w:sz w:val="32"/>
          <w:szCs w:val="32"/>
          <w14:textFill>
            <w14:solidFill>
              <w14:schemeClr w14:val="tx1"/>
            </w14:solidFill>
          </w14:textFill>
        </w:rPr>
        <w:t>食品、家居、纺织</w:t>
      </w:r>
      <w:r>
        <w:rPr>
          <w:rFonts w:hint="eastAsia"/>
          <w:color w:val="000000" w:themeColor="text1"/>
          <w:sz w:val="32"/>
          <w:szCs w:val="32"/>
          <w14:textFill>
            <w14:solidFill>
              <w14:schemeClr w14:val="tx1"/>
            </w14:solidFill>
          </w14:textFill>
        </w:rPr>
        <w:t>、新材料、光伏等</w:t>
      </w:r>
      <w:r>
        <w:rPr>
          <w:color w:val="000000" w:themeColor="text1"/>
          <w:sz w:val="32"/>
          <w:szCs w:val="32"/>
          <w14:textFill>
            <w14:solidFill>
              <w14:schemeClr w14:val="tx1"/>
            </w14:solidFill>
          </w14:textFill>
        </w:rPr>
        <w:t>产业链</w:t>
      </w:r>
      <w:r>
        <w:rPr>
          <w:rFonts w:hint="eastAsia"/>
          <w:color w:val="000000" w:themeColor="text1"/>
          <w:sz w:val="32"/>
          <w:szCs w:val="32"/>
          <w14:textFill>
            <w14:solidFill>
              <w14:schemeClr w14:val="tx1"/>
            </w14:solidFill>
          </w14:textFill>
        </w:rPr>
        <w:t>初步成链，大部分</w:t>
      </w:r>
      <w:r>
        <w:rPr>
          <w:color w:val="000000" w:themeColor="text1"/>
          <w:sz w:val="32"/>
          <w:szCs w:val="32"/>
          <w14:textFill>
            <w14:solidFill>
              <w14:schemeClr w14:val="tx1"/>
            </w14:solidFill>
          </w14:textFill>
        </w:rPr>
        <w:t>产业链缺失环节较多，</w:t>
      </w:r>
      <w:r>
        <w:rPr>
          <w:rFonts w:hint="eastAsia"/>
          <w:color w:val="000000" w:themeColor="text1"/>
          <w:sz w:val="32"/>
          <w:szCs w:val="32"/>
          <w14:textFill>
            <w14:solidFill>
              <w14:schemeClr w14:val="tx1"/>
            </w14:solidFill>
          </w14:textFill>
        </w:rPr>
        <w:t>且现有企业大多处于产业链前端和价值链中低端</w:t>
      </w:r>
      <w:r>
        <w:rPr>
          <w:color w:val="000000" w:themeColor="text1"/>
          <w:sz w:val="32"/>
          <w:szCs w:val="32"/>
          <w14:textFill>
            <w14:solidFill>
              <w14:schemeClr w14:val="tx1"/>
            </w14:solidFill>
          </w14:textFill>
        </w:rPr>
        <w:t>制造环节，研发设计、核心零部件、关键装备等关键核心环节缺乏</w:t>
      </w:r>
      <w:r>
        <w:rPr>
          <w:rFonts w:hint="eastAsia"/>
          <w:color w:val="000000" w:themeColor="text1"/>
          <w:sz w:val="32"/>
          <w:szCs w:val="32"/>
          <w14:textFill>
            <w14:solidFill>
              <w14:schemeClr w14:val="tx1"/>
            </w14:solidFill>
          </w14:textFill>
        </w:rPr>
        <w:t>，高质量、高技术、高附加值的终端产品占比不高。部分高层次的产业链上企业较少，如集成电路和动力电池两个产业链上企业仅分别为7户和14户</w:t>
      </w:r>
      <w:r>
        <w:rPr>
          <w:color w:val="000000" w:themeColor="text1"/>
          <w:sz w:val="32"/>
          <w:szCs w:val="32"/>
          <w14:textFill>
            <w14:solidFill>
              <w14:schemeClr w14:val="tx1"/>
            </w14:solidFill>
          </w14:textFill>
        </w:rPr>
        <w:t>。</w:t>
      </w:r>
    </w:p>
    <w:p>
      <w:pPr>
        <w:pStyle w:val="8"/>
        <w:spacing w:before="156" w:beforeLines="50" w:after="0" w:line="580" w:lineRule="exact"/>
        <w:ind w:firstLine="640" w:firstLineChars="200"/>
        <w:rPr>
          <w:rFonts w:eastAsia="方正黑体_GBK"/>
          <w:b w:val="0"/>
          <w:color w:val="000000" w:themeColor="text1"/>
          <w14:textFill>
            <w14:solidFill>
              <w14:schemeClr w14:val="tx1"/>
            </w14:solidFill>
          </w14:textFill>
        </w:rPr>
      </w:pPr>
      <w:r>
        <w:rPr>
          <w:rFonts w:eastAsia="方正黑体_GBK"/>
          <w:b w:val="0"/>
          <w:color w:val="000000" w:themeColor="text1"/>
          <w14:textFill>
            <w14:solidFill>
              <w14:schemeClr w14:val="tx1"/>
            </w14:solidFill>
          </w14:textFill>
        </w:rPr>
        <w:t>三、企业总体</w:t>
      </w:r>
      <w:r>
        <w:rPr>
          <w:rFonts w:hint="eastAsia" w:eastAsia="方正黑体_GBK"/>
          <w:b w:val="0"/>
          <w:color w:val="000000" w:themeColor="text1"/>
          <w14:textFill>
            <w14:solidFill>
              <w14:schemeClr w14:val="tx1"/>
            </w14:solidFill>
          </w14:textFill>
        </w:rPr>
        <w:t>竞争力</w:t>
      </w:r>
      <w:r>
        <w:rPr>
          <w:rFonts w:eastAsia="方正黑体_GBK"/>
          <w:b w:val="0"/>
          <w:color w:val="000000" w:themeColor="text1"/>
          <w14:textFill>
            <w14:solidFill>
              <w14:schemeClr w14:val="tx1"/>
            </w14:solidFill>
          </w14:textFill>
        </w:rPr>
        <w:t>较弱</w:t>
      </w:r>
    </w:p>
    <w:p>
      <w:pPr>
        <w:spacing w:line="580" w:lineRule="exact"/>
        <w:ind w:firstLine="643" w:firstLineChars="200"/>
        <w:rPr>
          <w:color w:val="000000" w:themeColor="text1"/>
          <w:sz w:val="32"/>
          <w:szCs w:val="32"/>
          <w14:textFill>
            <w14:solidFill>
              <w14:schemeClr w14:val="tx1"/>
            </w14:solidFill>
          </w14:textFill>
        </w:rPr>
      </w:pPr>
      <w:r>
        <w:rPr>
          <w:b/>
          <w:color w:val="000000" w:themeColor="text1"/>
          <w:sz w:val="32"/>
          <w:szCs w:val="32"/>
          <w14:textFill>
            <w14:solidFill>
              <w14:schemeClr w14:val="tx1"/>
            </w14:solidFill>
          </w14:textFill>
        </w:rPr>
        <w:t>一是企业总体规模偏小</w:t>
      </w:r>
      <w:r>
        <w:rPr>
          <w:color w:val="000000" w:themeColor="text1"/>
          <w:sz w:val="32"/>
          <w:szCs w:val="32"/>
          <w14:textFill>
            <w14:solidFill>
              <w14:schemeClr w14:val="tx1"/>
            </w14:solidFill>
          </w14:textFill>
        </w:rPr>
        <w:t>。2020年，全市规模企业单体资产为1.71亿元，仅为全省平均水平60.9%（徐州市为2.82亿元、连云港市为3.92亿元、盐城市为1.90亿元）。全市规模企业单体销售收入为1.57亿元，仅为全省平均水平59.5%（徐州市为2.42亿元、连云港市为2.90亿元、盐城市为1.71亿元、淮安市为1.64亿元）。</w:t>
      </w:r>
      <w:r>
        <w:rPr>
          <w:b/>
          <w:color w:val="000000" w:themeColor="text1"/>
          <w:sz w:val="32"/>
          <w:szCs w:val="32"/>
          <w14:textFill>
            <w14:solidFill>
              <w14:schemeClr w14:val="tx1"/>
            </w14:solidFill>
          </w14:textFill>
        </w:rPr>
        <w:t>二是龙头企业数量偏少</w:t>
      </w:r>
      <w:r>
        <w:rPr>
          <w:rFonts w:hint="eastAsia"/>
          <w:b/>
          <w:color w:val="000000" w:themeColor="text1"/>
          <w:sz w:val="32"/>
          <w:szCs w:val="32"/>
          <w14:textFill>
            <w14:solidFill>
              <w14:schemeClr w14:val="tx1"/>
            </w14:solidFill>
          </w14:textFill>
        </w:rPr>
        <w:t>、成长偏慢</w:t>
      </w:r>
      <w:r>
        <w:rPr>
          <w:color w:val="000000" w:themeColor="text1"/>
          <w:sz w:val="32"/>
          <w:szCs w:val="32"/>
          <w14:textFill>
            <w14:solidFill>
              <w14:schemeClr w14:val="tx1"/>
            </w14:solidFill>
          </w14:textFill>
        </w:rPr>
        <w:t>。</w:t>
      </w:r>
      <w:r>
        <w:rPr>
          <w:rFonts w:hint="eastAsia"/>
          <w:color w:val="000000" w:themeColor="text1"/>
          <w:sz w:val="32"/>
          <w:szCs w:val="32"/>
          <w14:textFill>
            <w14:solidFill>
              <w14:schemeClr w14:val="tx1"/>
            </w14:solidFill>
          </w14:textFill>
        </w:rPr>
        <w:t>我市</w:t>
      </w:r>
      <w:r>
        <w:rPr>
          <w:color w:val="000000" w:themeColor="text1"/>
          <w:sz w:val="32"/>
          <w:szCs w:val="32"/>
          <w14:textFill>
            <w14:solidFill>
              <w14:schemeClr w14:val="tx1"/>
            </w14:solidFill>
          </w14:textFill>
        </w:rPr>
        <w:t>行业龙头企业少</w:t>
      </w:r>
      <w:r>
        <w:rPr>
          <w:rFonts w:hint="eastAsia"/>
          <w:color w:val="000000" w:themeColor="text1"/>
          <w:sz w:val="32"/>
          <w:szCs w:val="32"/>
          <w14:textFill>
            <w14:solidFill>
              <w14:schemeClr w14:val="tx1"/>
            </w14:solidFill>
          </w14:textFill>
        </w:rPr>
        <w:t>，在国内或行业内有影响力和知名度的品牌企业更少，</w:t>
      </w:r>
      <w:r>
        <w:rPr>
          <w:color w:val="000000" w:themeColor="text1"/>
          <w:sz w:val="32"/>
          <w:szCs w:val="32"/>
          <w14:textFill>
            <w14:solidFill>
              <w14:schemeClr w14:val="tx1"/>
            </w14:solidFill>
          </w14:textFill>
        </w:rPr>
        <w:t>仅有洋河酒厂纳入全省百企引航名单。同时，现有规模较大</w:t>
      </w:r>
      <w:r>
        <w:rPr>
          <w:rFonts w:hint="eastAsia"/>
          <w:color w:val="000000" w:themeColor="text1"/>
          <w:sz w:val="32"/>
          <w:szCs w:val="32"/>
          <w14:textFill>
            <w14:solidFill>
              <w14:schemeClr w14:val="tx1"/>
            </w14:solidFill>
          </w14:textFill>
        </w:rPr>
        <w:t>的</w:t>
      </w:r>
      <w:r>
        <w:rPr>
          <w:color w:val="000000" w:themeColor="text1"/>
          <w:sz w:val="32"/>
          <w:szCs w:val="32"/>
          <w14:textFill>
            <w14:solidFill>
              <w14:schemeClr w14:val="tx1"/>
            </w14:solidFill>
          </w14:textFill>
        </w:rPr>
        <w:t>企业多为加工基地型，</w:t>
      </w:r>
      <w:r>
        <w:rPr>
          <w:rFonts w:hint="eastAsia"/>
          <w:color w:val="000000" w:themeColor="text1"/>
          <w:sz w:val="32"/>
          <w:szCs w:val="32"/>
          <w14:textFill>
            <w14:solidFill>
              <w14:schemeClr w14:val="tx1"/>
            </w14:solidFill>
          </w14:textFill>
        </w:rPr>
        <w:t>自主研发能力偏弱，对产业升级的</w:t>
      </w:r>
      <w:r>
        <w:rPr>
          <w:color w:val="000000" w:themeColor="text1"/>
          <w:sz w:val="32"/>
          <w:szCs w:val="32"/>
          <w14:textFill>
            <w14:solidFill>
              <w14:schemeClr w14:val="tx1"/>
            </w14:solidFill>
          </w14:textFill>
        </w:rPr>
        <w:t>带动作用</w:t>
      </w:r>
      <w:r>
        <w:rPr>
          <w:rFonts w:hint="eastAsia"/>
          <w:color w:val="000000" w:themeColor="text1"/>
          <w:sz w:val="32"/>
          <w:szCs w:val="32"/>
          <w14:textFill>
            <w14:solidFill>
              <w14:schemeClr w14:val="tx1"/>
            </w14:solidFill>
          </w14:textFill>
        </w:rPr>
        <w:t>偏低。</w:t>
      </w:r>
      <w:r>
        <w:rPr>
          <w:color w:val="000000" w:themeColor="text1"/>
          <w:sz w:val="32"/>
          <w:szCs w:val="32"/>
          <w14:textFill>
            <w14:solidFill>
              <w14:schemeClr w14:val="tx1"/>
            </w14:solidFill>
          </w14:textFill>
        </w:rPr>
        <w:t>4户百亿级企业中有3户为生产基地型企业</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2020年全市工业100强企业中仅有50家企业研发投入超过300万元。</w:t>
      </w:r>
    </w:p>
    <w:p>
      <w:pPr>
        <w:spacing w:before="78" w:beforeLines="25" w:line="580" w:lineRule="exact"/>
        <w:ind w:firstLine="560"/>
        <w:jc w:val="center"/>
        <w:rPr>
          <w:rFonts w:eastAsia="方正黑体_GBK"/>
          <w:color w:val="000000" w:themeColor="text1"/>
          <w:sz w:val="28"/>
          <w:szCs w:val="30"/>
          <w14:textFill>
            <w14:solidFill>
              <w14:schemeClr w14:val="tx1"/>
            </w14:solidFill>
          </w14:textFill>
        </w:rPr>
      </w:pPr>
      <w:r>
        <w:rPr>
          <w:rFonts w:eastAsia="方正黑体_GBK"/>
          <w:color w:val="000000" w:themeColor="text1"/>
          <w:sz w:val="28"/>
          <w:szCs w:val="30"/>
          <w14:textFill>
            <w14:solidFill>
              <w14:schemeClr w14:val="tx1"/>
            </w14:solidFill>
          </w14:textFill>
        </w:rPr>
        <w:t>苏北五市2020年企业规模对比表</w:t>
      </w:r>
      <w:r>
        <w:rPr>
          <w:rFonts w:hint="eastAsia" w:eastAsia="方正黑体_GBK"/>
          <w:color w:val="000000" w:themeColor="text1"/>
          <w:sz w:val="28"/>
          <w:szCs w:val="30"/>
          <w14:textFill>
            <w14:solidFill>
              <w14:schemeClr w14:val="tx1"/>
            </w14:solidFill>
          </w14:textFill>
        </w:rPr>
        <w:t>（表六）</w:t>
      </w:r>
    </w:p>
    <w:tbl>
      <w:tblPr>
        <w:tblStyle w:val="52"/>
        <w:tblW w:w="9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8"/>
        <w:gridCol w:w="1000"/>
        <w:gridCol w:w="1080"/>
        <w:gridCol w:w="1210"/>
        <w:gridCol w:w="1190"/>
        <w:gridCol w:w="1090"/>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298" w:type="dxa"/>
            <w:vAlign w:val="center"/>
          </w:tcPr>
          <w:p>
            <w:pPr>
              <w:spacing w:line="580" w:lineRule="exact"/>
              <w:jc w:val="center"/>
              <w:rPr>
                <w:rFonts w:eastAsia="方正黑体_GBK" w:cstheme="minorBidi"/>
                <w:color w:val="000000" w:themeColor="text1"/>
                <w:kern w:val="0"/>
                <w:sz w:val="20"/>
                <w:szCs w:val="21"/>
                <w14:textFill>
                  <w14:solidFill>
                    <w14:schemeClr w14:val="tx1"/>
                  </w14:solidFill>
                </w14:textFill>
              </w:rPr>
            </w:pPr>
            <w:r>
              <w:rPr>
                <w:rFonts w:eastAsia="方正黑体_GBK" w:cstheme="minorBidi"/>
                <w:color w:val="000000" w:themeColor="text1"/>
                <w:kern w:val="0"/>
                <w:sz w:val="20"/>
                <w:szCs w:val="21"/>
                <w14:textFill>
                  <w14:solidFill>
                    <w14:schemeClr w14:val="tx1"/>
                  </w14:solidFill>
                </w14:textFill>
              </w:rPr>
              <w:t>指标</w:t>
            </w:r>
          </w:p>
        </w:tc>
        <w:tc>
          <w:tcPr>
            <w:tcW w:w="1000" w:type="dxa"/>
            <w:vAlign w:val="center"/>
          </w:tcPr>
          <w:p>
            <w:pPr>
              <w:spacing w:line="580" w:lineRule="exact"/>
              <w:jc w:val="center"/>
              <w:rPr>
                <w:rFonts w:eastAsia="方正黑体_GBK" w:cstheme="minorBidi"/>
                <w:color w:val="000000" w:themeColor="text1"/>
                <w:kern w:val="0"/>
                <w:sz w:val="20"/>
                <w:szCs w:val="21"/>
                <w14:textFill>
                  <w14:solidFill>
                    <w14:schemeClr w14:val="tx1"/>
                  </w14:solidFill>
                </w14:textFill>
              </w:rPr>
            </w:pPr>
            <w:r>
              <w:rPr>
                <w:rFonts w:eastAsia="方正黑体_GBK" w:cstheme="minorBidi"/>
                <w:color w:val="000000" w:themeColor="text1"/>
                <w:kern w:val="0"/>
                <w:sz w:val="20"/>
                <w:szCs w:val="21"/>
                <w14:textFill>
                  <w14:solidFill>
                    <w14:schemeClr w14:val="tx1"/>
                  </w14:solidFill>
                </w14:textFill>
              </w:rPr>
              <w:t>宿迁</w:t>
            </w:r>
          </w:p>
        </w:tc>
        <w:tc>
          <w:tcPr>
            <w:tcW w:w="1080" w:type="dxa"/>
            <w:vAlign w:val="center"/>
          </w:tcPr>
          <w:p>
            <w:pPr>
              <w:spacing w:line="580" w:lineRule="exact"/>
              <w:jc w:val="center"/>
              <w:rPr>
                <w:rFonts w:eastAsia="方正黑体_GBK" w:cstheme="minorBidi"/>
                <w:color w:val="000000" w:themeColor="text1"/>
                <w:kern w:val="0"/>
                <w:sz w:val="20"/>
                <w:szCs w:val="21"/>
                <w14:textFill>
                  <w14:solidFill>
                    <w14:schemeClr w14:val="tx1"/>
                  </w14:solidFill>
                </w14:textFill>
              </w:rPr>
            </w:pPr>
            <w:r>
              <w:rPr>
                <w:rFonts w:eastAsia="方正黑体_GBK" w:cstheme="minorBidi"/>
                <w:color w:val="000000" w:themeColor="text1"/>
                <w:kern w:val="0"/>
                <w:sz w:val="20"/>
                <w:szCs w:val="21"/>
                <w14:textFill>
                  <w14:solidFill>
                    <w14:schemeClr w14:val="tx1"/>
                  </w14:solidFill>
                </w14:textFill>
              </w:rPr>
              <w:t>徐州</w:t>
            </w:r>
          </w:p>
        </w:tc>
        <w:tc>
          <w:tcPr>
            <w:tcW w:w="1210" w:type="dxa"/>
            <w:vAlign w:val="center"/>
          </w:tcPr>
          <w:p>
            <w:pPr>
              <w:spacing w:line="580" w:lineRule="exact"/>
              <w:jc w:val="center"/>
              <w:rPr>
                <w:rFonts w:eastAsia="方正黑体_GBK" w:cstheme="minorBidi"/>
                <w:color w:val="000000" w:themeColor="text1"/>
                <w:kern w:val="0"/>
                <w:sz w:val="20"/>
                <w:szCs w:val="21"/>
                <w14:textFill>
                  <w14:solidFill>
                    <w14:schemeClr w14:val="tx1"/>
                  </w14:solidFill>
                </w14:textFill>
              </w:rPr>
            </w:pPr>
            <w:r>
              <w:rPr>
                <w:rFonts w:eastAsia="方正黑体_GBK" w:cstheme="minorBidi"/>
                <w:color w:val="000000" w:themeColor="text1"/>
                <w:kern w:val="0"/>
                <w:sz w:val="20"/>
                <w:szCs w:val="21"/>
                <w14:textFill>
                  <w14:solidFill>
                    <w14:schemeClr w14:val="tx1"/>
                  </w14:solidFill>
                </w14:textFill>
              </w:rPr>
              <w:t>连云港</w:t>
            </w:r>
          </w:p>
        </w:tc>
        <w:tc>
          <w:tcPr>
            <w:tcW w:w="1190" w:type="dxa"/>
            <w:vAlign w:val="center"/>
          </w:tcPr>
          <w:p>
            <w:pPr>
              <w:spacing w:line="580" w:lineRule="exact"/>
              <w:jc w:val="center"/>
              <w:rPr>
                <w:rFonts w:eastAsia="方正黑体_GBK" w:cstheme="minorBidi"/>
                <w:color w:val="000000" w:themeColor="text1"/>
                <w:kern w:val="0"/>
                <w:sz w:val="20"/>
                <w:szCs w:val="21"/>
                <w14:textFill>
                  <w14:solidFill>
                    <w14:schemeClr w14:val="tx1"/>
                  </w14:solidFill>
                </w14:textFill>
              </w:rPr>
            </w:pPr>
            <w:r>
              <w:rPr>
                <w:rFonts w:eastAsia="方正黑体_GBK" w:cstheme="minorBidi"/>
                <w:color w:val="000000" w:themeColor="text1"/>
                <w:kern w:val="0"/>
                <w:sz w:val="20"/>
                <w:szCs w:val="21"/>
                <w14:textFill>
                  <w14:solidFill>
                    <w14:schemeClr w14:val="tx1"/>
                  </w14:solidFill>
                </w14:textFill>
              </w:rPr>
              <w:t>盐城</w:t>
            </w:r>
          </w:p>
        </w:tc>
        <w:tc>
          <w:tcPr>
            <w:tcW w:w="1090" w:type="dxa"/>
            <w:vAlign w:val="center"/>
          </w:tcPr>
          <w:p>
            <w:pPr>
              <w:spacing w:line="580" w:lineRule="exact"/>
              <w:jc w:val="center"/>
              <w:rPr>
                <w:rFonts w:eastAsia="方正黑体_GBK" w:cstheme="minorBidi"/>
                <w:color w:val="000000" w:themeColor="text1"/>
                <w:kern w:val="0"/>
                <w:sz w:val="20"/>
                <w:szCs w:val="21"/>
                <w14:textFill>
                  <w14:solidFill>
                    <w14:schemeClr w14:val="tx1"/>
                  </w14:solidFill>
                </w14:textFill>
              </w:rPr>
            </w:pPr>
            <w:r>
              <w:rPr>
                <w:rFonts w:eastAsia="方正黑体_GBK" w:cstheme="minorBidi"/>
                <w:color w:val="000000" w:themeColor="text1"/>
                <w:kern w:val="0"/>
                <w:sz w:val="20"/>
                <w:szCs w:val="21"/>
                <w14:textFill>
                  <w14:solidFill>
                    <w14:schemeClr w14:val="tx1"/>
                  </w14:solidFill>
                </w14:textFill>
              </w:rPr>
              <w:t>淮安</w:t>
            </w:r>
          </w:p>
        </w:tc>
        <w:tc>
          <w:tcPr>
            <w:tcW w:w="1155" w:type="dxa"/>
            <w:vAlign w:val="center"/>
          </w:tcPr>
          <w:p>
            <w:pPr>
              <w:spacing w:line="580" w:lineRule="exact"/>
              <w:jc w:val="center"/>
              <w:rPr>
                <w:rFonts w:eastAsia="方正黑体_GBK" w:cstheme="minorBidi"/>
                <w:color w:val="000000" w:themeColor="text1"/>
                <w:kern w:val="0"/>
                <w:sz w:val="20"/>
                <w:szCs w:val="21"/>
                <w14:textFill>
                  <w14:solidFill>
                    <w14:schemeClr w14:val="tx1"/>
                  </w14:solidFill>
                </w14:textFill>
              </w:rPr>
            </w:pPr>
            <w:r>
              <w:rPr>
                <w:rFonts w:eastAsia="方正黑体_GBK" w:cstheme="minorBidi"/>
                <w:color w:val="000000" w:themeColor="text1"/>
                <w:kern w:val="0"/>
                <w:sz w:val="20"/>
                <w:szCs w:val="21"/>
                <w14:textFill>
                  <w14:solidFill>
                    <w14:schemeClr w14:val="tx1"/>
                  </w14:solidFill>
                </w14:textFill>
              </w:rPr>
              <w:t>全省平均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298" w:type="dxa"/>
            <w:vAlign w:val="center"/>
          </w:tcPr>
          <w:p>
            <w:pPr>
              <w:spacing w:line="580" w:lineRule="exact"/>
              <w:jc w:val="center"/>
              <w:rPr>
                <w:rFonts w:eastAsia="方正楷体_GBK" w:cstheme="minorBidi"/>
                <w:color w:val="000000" w:themeColor="text1"/>
                <w:kern w:val="0"/>
                <w:sz w:val="20"/>
                <w:szCs w:val="21"/>
                <w14:textFill>
                  <w14:solidFill>
                    <w14:schemeClr w14:val="tx1"/>
                  </w14:solidFill>
                </w14:textFill>
              </w:rPr>
            </w:pPr>
            <w:r>
              <w:rPr>
                <w:rFonts w:eastAsia="方正楷体_GBK" w:cstheme="minorBidi"/>
                <w:color w:val="000000" w:themeColor="text1"/>
                <w:kern w:val="0"/>
                <w:sz w:val="20"/>
                <w:szCs w:val="21"/>
                <w14:textFill>
                  <w14:solidFill>
                    <w14:schemeClr w14:val="tx1"/>
                  </w14:solidFill>
                </w14:textFill>
              </w:rPr>
              <w:t>户均资产（亿元）</w:t>
            </w:r>
          </w:p>
        </w:tc>
        <w:tc>
          <w:tcPr>
            <w:tcW w:w="1000" w:type="dxa"/>
            <w:vAlign w:val="center"/>
          </w:tcPr>
          <w:p>
            <w:pPr>
              <w:spacing w:line="58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1.71</w:t>
            </w:r>
          </w:p>
        </w:tc>
        <w:tc>
          <w:tcPr>
            <w:tcW w:w="1080" w:type="dxa"/>
            <w:vAlign w:val="center"/>
          </w:tcPr>
          <w:p>
            <w:pPr>
              <w:spacing w:line="58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2.82</w:t>
            </w:r>
          </w:p>
        </w:tc>
        <w:tc>
          <w:tcPr>
            <w:tcW w:w="1210" w:type="dxa"/>
            <w:vAlign w:val="center"/>
          </w:tcPr>
          <w:p>
            <w:pPr>
              <w:spacing w:line="58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3.92</w:t>
            </w:r>
          </w:p>
        </w:tc>
        <w:tc>
          <w:tcPr>
            <w:tcW w:w="1190" w:type="dxa"/>
            <w:vAlign w:val="center"/>
          </w:tcPr>
          <w:p>
            <w:pPr>
              <w:spacing w:line="58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1.90</w:t>
            </w:r>
          </w:p>
        </w:tc>
        <w:tc>
          <w:tcPr>
            <w:tcW w:w="1090" w:type="dxa"/>
            <w:vAlign w:val="center"/>
          </w:tcPr>
          <w:p>
            <w:pPr>
              <w:spacing w:line="58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1.69</w:t>
            </w:r>
          </w:p>
        </w:tc>
        <w:tc>
          <w:tcPr>
            <w:tcW w:w="1155" w:type="dxa"/>
            <w:vAlign w:val="center"/>
          </w:tcPr>
          <w:p>
            <w:pPr>
              <w:spacing w:line="58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298" w:type="dxa"/>
            <w:vAlign w:val="center"/>
          </w:tcPr>
          <w:p>
            <w:pPr>
              <w:spacing w:line="580" w:lineRule="exact"/>
              <w:jc w:val="center"/>
              <w:rPr>
                <w:rFonts w:eastAsia="方正楷体_GBK" w:cstheme="minorBidi"/>
                <w:color w:val="000000" w:themeColor="text1"/>
                <w:kern w:val="0"/>
                <w:sz w:val="20"/>
                <w:szCs w:val="21"/>
                <w14:textFill>
                  <w14:solidFill>
                    <w14:schemeClr w14:val="tx1"/>
                  </w14:solidFill>
                </w14:textFill>
              </w:rPr>
            </w:pPr>
            <w:r>
              <w:rPr>
                <w:rFonts w:eastAsia="方正楷体_GBK" w:cstheme="minorBidi"/>
                <w:color w:val="000000" w:themeColor="text1"/>
                <w:kern w:val="0"/>
                <w:sz w:val="20"/>
                <w:szCs w:val="21"/>
                <w14:textFill>
                  <w14:solidFill>
                    <w14:schemeClr w14:val="tx1"/>
                  </w14:solidFill>
                </w14:textFill>
              </w:rPr>
              <w:t>户均营业收入（亿元）</w:t>
            </w:r>
          </w:p>
        </w:tc>
        <w:tc>
          <w:tcPr>
            <w:tcW w:w="1000" w:type="dxa"/>
            <w:vAlign w:val="center"/>
          </w:tcPr>
          <w:p>
            <w:pPr>
              <w:spacing w:line="58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1.55</w:t>
            </w:r>
          </w:p>
        </w:tc>
        <w:tc>
          <w:tcPr>
            <w:tcW w:w="1080" w:type="dxa"/>
            <w:vAlign w:val="center"/>
          </w:tcPr>
          <w:p>
            <w:pPr>
              <w:spacing w:line="58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2.42</w:t>
            </w:r>
          </w:p>
        </w:tc>
        <w:tc>
          <w:tcPr>
            <w:tcW w:w="1210" w:type="dxa"/>
            <w:vAlign w:val="center"/>
          </w:tcPr>
          <w:p>
            <w:pPr>
              <w:spacing w:line="58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2.90</w:t>
            </w:r>
          </w:p>
        </w:tc>
        <w:tc>
          <w:tcPr>
            <w:tcW w:w="1190" w:type="dxa"/>
            <w:vAlign w:val="center"/>
          </w:tcPr>
          <w:p>
            <w:pPr>
              <w:spacing w:line="58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1.71</w:t>
            </w:r>
          </w:p>
        </w:tc>
        <w:tc>
          <w:tcPr>
            <w:tcW w:w="1090" w:type="dxa"/>
            <w:vAlign w:val="center"/>
          </w:tcPr>
          <w:p>
            <w:pPr>
              <w:spacing w:line="58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1.64</w:t>
            </w:r>
          </w:p>
        </w:tc>
        <w:tc>
          <w:tcPr>
            <w:tcW w:w="1155" w:type="dxa"/>
            <w:vAlign w:val="center"/>
          </w:tcPr>
          <w:p>
            <w:pPr>
              <w:spacing w:line="58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2.64</w:t>
            </w:r>
          </w:p>
        </w:tc>
      </w:tr>
    </w:tbl>
    <w:p>
      <w:pPr>
        <w:pStyle w:val="8"/>
        <w:spacing w:before="156" w:beforeLines="50" w:after="0" w:line="580" w:lineRule="exact"/>
        <w:ind w:firstLine="640" w:firstLineChars="200"/>
        <w:rPr>
          <w:rFonts w:eastAsia="方正黑体_GBK"/>
          <w:b w:val="0"/>
          <w:color w:val="000000" w:themeColor="text1"/>
          <w14:textFill>
            <w14:solidFill>
              <w14:schemeClr w14:val="tx1"/>
            </w14:solidFill>
          </w14:textFill>
        </w:rPr>
      </w:pPr>
      <w:r>
        <w:rPr>
          <w:rFonts w:eastAsia="方正黑体_GBK"/>
          <w:b w:val="0"/>
          <w:color w:val="000000" w:themeColor="text1"/>
          <w14:textFill>
            <w14:solidFill>
              <w14:schemeClr w14:val="tx1"/>
            </w14:solidFill>
          </w14:textFill>
        </w:rPr>
        <w:t>四、科技创新水平不够高</w:t>
      </w:r>
    </w:p>
    <w:p>
      <w:pPr>
        <w:spacing w:line="580" w:lineRule="exact"/>
        <w:ind w:firstLine="640" w:firstLineChars="200"/>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全市高新技术企业472户，仅占全省1.4</w:t>
      </w:r>
      <w:r>
        <w:rPr>
          <w:rFonts w:hint="eastAsia"/>
          <w:color w:val="000000" w:themeColor="text1"/>
          <w:sz w:val="32"/>
          <w:szCs w:val="32"/>
          <w14:textFill>
            <w14:solidFill>
              <w14:schemeClr w14:val="tx1"/>
            </w14:solidFill>
          </w14:textFill>
        </w:rPr>
        <w:t>3</w:t>
      </w:r>
      <w:r>
        <w:rPr>
          <w:color w:val="000000" w:themeColor="text1"/>
          <w:sz w:val="32"/>
          <w:szCs w:val="32"/>
          <w14:textFill>
            <w14:solidFill>
              <w14:schemeClr w14:val="tx1"/>
            </w14:solidFill>
          </w14:textFill>
        </w:rPr>
        <w:t>%。高新技术产业产值占规上比重仅为</w:t>
      </w:r>
      <w:r>
        <w:rPr>
          <w:rFonts w:hint="eastAsia"/>
          <w:color w:val="000000" w:themeColor="text1"/>
          <w:sz w:val="32"/>
          <w:szCs w:val="32"/>
          <w14:textFill>
            <w14:solidFill>
              <w14:schemeClr w14:val="tx1"/>
            </w14:solidFill>
          </w14:textFill>
        </w:rPr>
        <w:t>31.6</w:t>
      </w:r>
      <w:r>
        <w:rPr>
          <w:color w:val="000000" w:themeColor="text1"/>
          <w:sz w:val="32"/>
          <w:szCs w:val="32"/>
          <w14:textFill>
            <w14:solidFill>
              <w14:schemeClr w14:val="tx1"/>
            </w14:solidFill>
          </w14:textFill>
        </w:rPr>
        <w:t>%，低于全省平均</w:t>
      </w:r>
      <w:r>
        <w:rPr>
          <w:rFonts w:hint="eastAsia"/>
          <w:color w:val="000000" w:themeColor="text1"/>
          <w:sz w:val="32"/>
          <w:szCs w:val="32"/>
          <w14:textFill>
            <w14:solidFill>
              <w14:schemeClr w14:val="tx1"/>
            </w14:solidFill>
          </w14:textFill>
        </w:rPr>
        <w:t>14.9</w:t>
      </w:r>
      <w:r>
        <w:rPr>
          <w:color w:val="000000" w:themeColor="text1"/>
          <w:sz w:val="32"/>
          <w:szCs w:val="32"/>
          <w14:textFill>
            <w14:solidFill>
              <w14:schemeClr w14:val="tx1"/>
            </w14:solidFill>
          </w14:textFill>
        </w:rPr>
        <w:t>个百分点。企业研发经费支出占GDP比重为1.9</w:t>
      </w:r>
      <w:r>
        <w:rPr>
          <w:rFonts w:hint="eastAsia"/>
          <w:color w:val="000000" w:themeColor="text1"/>
          <w:sz w:val="32"/>
          <w:szCs w:val="32"/>
          <w14:textFill>
            <w14:solidFill>
              <w14:schemeClr w14:val="tx1"/>
            </w14:solidFill>
          </w14:textFill>
        </w:rPr>
        <w:t>5</w:t>
      </w:r>
      <w:r>
        <w:rPr>
          <w:color w:val="000000" w:themeColor="text1"/>
          <w:sz w:val="32"/>
          <w:szCs w:val="32"/>
          <w14:textFill>
            <w14:solidFill>
              <w14:schemeClr w14:val="tx1"/>
            </w14:solidFill>
          </w14:textFill>
        </w:rPr>
        <w:t>%，低于全省平均0.8</w:t>
      </w:r>
      <w:r>
        <w:rPr>
          <w:rFonts w:hint="eastAsia"/>
          <w:color w:val="000000" w:themeColor="text1"/>
          <w:sz w:val="32"/>
          <w:szCs w:val="32"/>
          <w14:textFill>
            <w14:solidFill>
              <w14:schemeClr w14:val="tx1"/>
            </w14:solidFill>
          </w14:textFill>
        </w:rPr>
        <w:t>7</w:t>
      </w:r>
      <w:r>
        <w:rPr>
          <w:color w:val="000000" w:themeColor="text1"/>
          <w:sz w:val="32"/>
          <w:szCs w:val="32"/>
          <w14:textFill>
            <w14:solidFill>
              <w14:schemeClr w14:val="tx1"/>
            </w14:solidFill>
          </w14:textFill>
        </w:rPr>
        <w:t>个百分点。省级以上创新载体仅占全省的2.5%，国家级创新载体仅有</w:t>
      </w:r>
      <w:r>
        <w:rPr>
          <w:rFonts w:hint="eastAsia"/>
          <w:color w:val="000000" w:themeColor="text1"/>
          <w:sz w:val="32"/>
          <w:szCs w:val="32"/>
          <w14:textFill>
            <w14:solidFill>
              <w14:schemeClr w14:val="tx1"/>
            </w14:solidFill>
          </w14:textFill>
        </w:rPr>
        <w:t>2</w:t>
      </w:r>
      <w:r>
        <w:rPr>
          <w:color w:val="000000" w:themeColor="text1"/>
          <w:sz w:val="32"/>
          <w:szCs w:val="32"/>
          <w14:textFill>
            <w14:solidFill>
              <w14:schemeClr w14:val="tx1"/>
            </w14:solidFill>
          </w14:textFill>
        </w:rPr>
        <w:t>个。近年来，获得国家</w:t>
      </w:r>
      <w:r>
        <w:rPr>
          <w:rFonts w:hint="eastAsia"/>
          <w:color w:val="000000" w:themeColor="text1"/>
          <w:sz w:val="32"/>
          <w:szCs w:val="32"/>
          <w14:textFill>
            <w14:solidFill>
              <w14:schemeClr w14:val="tx1"/>
            </w14:solidFill>
          </w14:textFill>
        </w:rPr>
        <w:t>强基</w:t>
      </w:r>
      <w:r>
        <w:rPr>
          <w:color w:val="000000" w:themeColor="text1"/>
          <w:sz w:val="32"/>
          <w:szCs w:val="32"/>
          <w14:textFill>
            <w14:solidFill>
              <w14:schemeClr w14:val="tx1"/>
            </w14:solidFill>
          </w14:textFill>
        </w:rPr>
        <w:t>工程和省级重大技术攻关类项目支持企业基本空白。服务于产业发展的</w:t>
      </w:r>
      <w:r>
        <w:rPr>
          <w:rFonts w:hint="eastAsia"/>
          <w:color w:val="000000" w:themeColor="text1"/>
          <w:sz w:val="32"/>
          <w:szCs w:val="32"/>
          <w14:textFill>
            <w14:solidFill>
              <w14:schemeClr w14:val="tx1"/>
            </w14:solidFill>
          </w14:textFill>
        </w:rPr>
        <w:t>省</w:t>
      </w:r>
      <w:r>
        <w:rPr>
          <w:color w:val="000000" w:themeColor="text1"/>
          <w:sz w:val="32"/>
          <w:szCs w:val="32"/>
          <w14:textFill>
            <w14:solidFill>
              <w14:schemeClr w14:val="tx1"/>
            </w14:solidFill>
          </w14:textFill>
        </w:rPr>
        <w:t>级以上研究院、公共服务平台严重缺乏。</w:t>
      </w:r>
    </w:p>
    <w:p>
      <w:pPr>
        <w:spacing w:before="78" w:beforeLines="25" w:line="580" w:lineRule="exact"/>
        <w:jc w:val="center"/>
        <w:rPr>
          <w:rFonts w:eastAsia="方正黑体_GBK"/>
          <w:color w:val="000000" w:themeColor="text1"/>
          <w:sz w:val="28"/>
          <w:szCs w:val="30"/>
          <w14:textFill>
            <w14:solidFill>
              <w14:schemeClr w14:val="tx1"/>
            </w14:solidFill>
          </w14:textFill>
        </w:rPr>
      </w:pPr>
      <w:r>
        <w:rPr>
          <w:rFonts w:eastAsia="方正黑体_GBK"/>
          <w:color w:val="000000" w:themeColor="text1"/>
          <w:sz w:val="28"/>
          <w:szCs w:val="30"/>
          <w14:textFill>
            <w14:solidFill>
              <w14:schemeClr w14:val="tx1"/>
            </w14:solidFill>
          </w14:textFill>
        </w:rPr>
        <w:t>20</w:t>
      </w:r>
      <w:r>
        <w:rPr>
          <w:rFonts w:hint="eastAsia" w:eastAsia="方正黑体_GBK"/>
          <w:color w:val="000000" w:themeColor="text1"/>
          <w:sz w:val="28"/>
          <w:szCs w:val="30"/>
          <w14:textFill>
            <w14:solidFill>
              <w14:schemeClr w14:val="tx1"/>
            </w14:solidFill>
          </w14:textFill>
        </w:rPr>
        <w:t>20</w:t>
      </w:r>
      <w:r>
        <w:rPr>
          <w:rFonts w:eastAsia="方正黑体_GBK"/>
          <w:color w:val="000000" w:themeColor="text1"/>
          <w:sz w:val="28"/>
          <w:szCs w:val="30"/>
          <w14:textFill>
            <w14:solidFill>
              <w14:schemeClr w14:val="tx1"/>
            </w14:solidFill>
          </w14:textFill>
        </w:rPr>
        <w:t>年宿迁企业创新能力占全省情况</w:t>
      </w:r>
      <w:r>
        <w:rPr>
          <w:rFonts w:hint="eastAsia" w:eastAsia="方正黑体_GBK"/>
          <w:color w:val="000000" w:themeColor="text1"/>
          <w:sz w:val="28"/>
          <w:szCs w:val="30"/>
          <w14:textFill>
            <w14:solidFill>
              <w14:schemeClr w14:val="tx1"/>
            </w14:solidFill>
          </w14:textFill>
        </w:rPr>
        <w:t>表（表七）</w:t>
      </w:r>
    </w:p>
    <w:tbl>
      <w:tblPr>
        <w:tblStyle w:val="53"/>
        <w:tblW w:w="84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008"/>
        <w:gridCol w:w="788"/>
        <w:gridCol w:w="1213"/>
        <w:gridCol w:w="1279"/>
        <w:gridCol w:w="1616"/>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87" w:type="dxa"/>
            <w:gridSpan w:val="3"/>
            <w:vAlign w:val="center"/>
          </w:tcPr>
          <w:p>
            <w:pPr>
              <w:tabs>
                <w:tab w:val="center" w:pos="4153"/>
                <w:tab w:val="right" w:pos="8306"/>
              </w:tabs>
              <w:snapToGrid w:val="0"/>
              <w:spacing w:line="440" w:lineRule="exact"/>
              <w:jc w:val="center"/>
              <w:rPr>
                <w:rFonts w:eastAsia="方正黑体_GBK" w:cstheme="minorBidi"/>
                <w:color w:val="000000" w:themeColor="text1"/>
                <w:kern w:val="0"/>
                <w:sz w:val="20"/>
                <w:szCs w:val="21"/>
                <w14:textFill>
                  <w14:solidFill>
                    <w14:schemeClr w14:val="tx1"/>
                  </w14:solidFill>
                </w14:textFill>
              </w:rPr>
            </w:pPr>
            <w:r>
              <w:rPr>
                <w:rFonts w:eastAsia="方正黑体_GBK" w:cstheme="minorBidi"/>
                <w:color w:val="000000" w:themeColor="text1"/>
                <w:kern w:val="0"/>
                <w:sz w:val="20"/>
                <w:szCs w:val="21"/>
                <w14:textFill>
                  <w14:solidFill>
                    <w14:schemeClr w14:val="tx1"/>
                  </w14:solidFill>
                </w14:textFill>
              </w:rPr>
              <w:t>高新技术企业数</w:t>
            </w:r>
          </w:p>
        </w:tc>
        <w:tc>
          <w:tcPr>
            <w:tcW w:w="2492" w:type="dxa"/>
            <w:gridSpan w:val="2"/>
            <w:vAlign w:val="center"/>
          </w:tcPr>
          <w:p>
            <w:pPr>
              <w:tabs>
                <w:tab w:val="center" w:pos="4153"/>
                <w:tab w:val="right" w:pos="8306"/>
              </w:tabs>
              <w:snapToGrid w:val="0"/>
              <w:spacing w:line="440" w:lineRule="exact"/>
              <w:jc w:val="center"/>
              <w:rPr>
                <w:rFonts w:eastAsia="方正黑体_GBK" w:cstheme="minorBidi"/>
                <w:color w:val="000000" w:themeColor="text1"/>
                <w:kern w:val="0"/>
                <w:sz w:val="20"/>
                <w:szCs w:val="21"/>
                <w14:textFill>
                  <w14:solidFill>
                    <w14:schemeClr w14:val="tx1"/>
                  </w14:solidFill>
                </w14:textFill>
              </w:rPr>
            </w:pPr>
            <w:r>
              <w:rPr>
                <w:rFonts w:eastAsia="方正黑体_GBK" w:cstheme="minorBidi"/>
                <w:color w:val="000000" w:themeColor="text1"/>
                <w:kern w:val="0"/>
                <w:sz w:val="20"/>
                <w:szCs w:val="21"/>
                <w14:textFill>
                  <w14:solidFill>
                    <w14:schemeClr w14:val="tx1"/>
                  </w14:solidFill>
                </w14:textFill>
              </w:rPr>
              <w:t>高新技术产业产值占比</w:t>
            </w:r>
          </w:p>
        </w:tc>
        <w:tc>
          <w:tcPr>
            <w:tcW w:w="3062" w:type="dxa"/>
            <w:gridSpan w:val="2"/>
            <w:vAlign w:val="center"/>
          </w:tcPr>
          <w:p>
            <w:pPr>
              <w:tabs>
                <w:tab w:val="center" w:pos="4153"/>
                <w:tab w:val="right" w:pos="8306"/>
              </w:tabs>
              <w:snapToGrid w:val="0"/>
              <w:spacing w:line="440" w:lineRule="exact"/>
              <w:jc w:val="center"/>
              <w:rPr>
                <w:rFonts w:eastAsia="方正黑体_GBK" w:cstheme="minorBidi"/>
                <w:color w:val="000000" w:themeColor="text1"/>
                <w:kern w:val="0"/>
                <w:sz w:val="20"/>
                <w:szCs w:val="21"/>
                <w14:textFill>
                  <w14:solidFill>
                    <w14:schemeClr w14:val="tx1"/>
                  </w14:solidFill>
                </w14:textFill>
              </w:rPr>
            </w:pPr>
            <w:r>
              <w:rPr>
                <w:rFonts w:eastAsia="方正黑体_GBK" w:cstheme="minorBidi"/>
                <w:color w:val="000000" w:themeColor="text1"/>
                <w:kern w:val="0"/>
                <w:sz w:val="20"/>
                <w:szCs w:val="21"/>
                <w14:textFill>
                  <w14:solidFill>
                    <w14:schemeClr w14:val="tx1"/>
                  </w14:solidFill>
                </w14:textFill>
              </w:rPr>
              <w:t>企业研发经费占GDP比重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1" w:type="dxa"/>
            <w:vAlign w:val="center"/>
          </w:tcPr>
          <w:p>
            <w:pPr>
              <w:tabs>
                <w:tab w:val="center" w:pos="4153"/>
                <w:tab w:val="right" w:pos="8306"/>
              </w:tabs>
              <w:snapToGrid w:val="0"/>
              <w:spacing w:line="440" w:lineRule="exact"/>
              <w:jc w:val="center"/>
              <w:rPr>
                <w:rFonts w:eastAsia="方正楷体_GBK" w:cstheme="minorBidi"/>
                <w:color w:val="000000" w:themeColor="text1"/>
                <w:kern w:val="0"/>
                <w:sz w:val="20"/>
                <w:szCs w:val="21"/>
                <w14:textFill>
                  <w14:solidFill>
                    <w14:schemeClr w14:val="tx1"/>
                  </w14:solidFill>
                </w14:textFill>
              </w:rPr>
            </w:pPr>
            <w:r>
              <w:rPr>
                <w:rFonts w:eastAsia="方正楷体_GBK" w:cstheme="minorBidi"/>
                <w:color w:val="000000" w:themeColor="text1"/>
                <w:kern w:val="0"/>
                <w:sz w:val="20"/>
                <w:szCs w:val="21"/>
                <w14:textFill>
                  <w14:solidFill>
                    <w14:schemeClr w14:val="tx1"/>
                  </w14:solidFill>
                </w14:textFill>
              </w:rPr>
              <w:t>宿迁</w:t>
            </w:r>
          </w:p>
        </w:tc>
        <w:tc>
          <w:tcPr>
            <w:tcW w:w="1008" w:type="dxa"/>
            <w:vAlign w:val="center"/>
          </w:tcPr>
          <w:p>
            <w:pPr>
              <w:tabs>
                <w:tab w:val="center" w:pos="4153"/>
                <w:tab w:val="right" w:pos="8306"/>
              </w:tabs>
              <w:snapToGrid w:val="0"/>
              <w:spacing w:line="440" w:lineRule="exact"/>
              <w:jc w:val="center"/>
              <w:rPr>
                <w:rFonts w:eastAsia="方正楷体_GBK" w:cstheme="minorBidi"/>
                <w:color w:val="000000" w:themeColor="text1"/>
                <w:kern w:val="0"/>
                <w:sz w:val="20"/>
                <w:szCs w:val="21"/>
                <w14:textFill>
                  <w14:solidFill>
                    <w14:schemeClr w14:val="tx1"/>
                  </w14:solidFill>
                </w14:textFill>
              </w:rPr>
            </w:pPr>
            <w:r>
              <w:rPr>
                <w:rFonts w:eastAsia="方正楷体_GBK" w:cstheme="minorBidi"/>
                <w:color w:val="000000" w:themeColor="text1"/>
                <w:kern w:val="0"/>
                <w:sz w:val="20"/>
                <w:szCs w:val="21"/>
                <w14:textFill>
                  <w14:solidFill>
                    <w14:schemeClr w14:val="tx1"/>
                  </w14:solidFill>
                </w14:textFill>
              </w:rPr>
              <w:t>全省</w:t>
            </w:r>
          </w:p>
        </w:tc>
        <w:tc>
          <w:tcPr>
            <w:tcW w:w="788" w:type="dxa"/>
            <w:vAlign w:val="center"/>
          </w:tcPr>
          <w:p>
            <w:pPr>
              <w:tabs>
                <w:tab w:val="center" w:pos="4153"/>
                <w:tab w:val="right" w:pos="8306"/>
              </w:tabs>
              <w:snapToGrid w:val="0"/>
              <w:spacing w:line="440" w:lineRule="exact"/>
              <w:jc w:val="center"/>
              <w:rPr>
                <w:rFonts w:eastAsia="方正楷体_GBK" w:cstheme="minorBidi"/>
                <w:color w:val="000000" w:themeColor="text1"/>
                <w:kern w:val="0"/>
                <w:sz w:val="20"/>
                <w:szCs w:val="21"/>
                <w14:textFill>
                  <w14:solidFill>
                    <w14:schemeClr w14:val="tx1"/>
                  </w14:solidFill>
                </w14:textFill>
              </w:rPr>
            </w:pPr>
            <w:r>
              <w:rPr>
                <w:rFonts w:eastAsia="方正楷体_GBK" w:cstheme="minorBidi"/>
                <w:color w:val="000000" w:themeColor="text1"/>
                <w:kern w:val="0"/>
                <w:sz w:val="20"/>
                <w:szCs w:val="21"/>
                <w14:textFill>
                  <w14:solidFill>
                    <w14:schemeClr w14:val="tx1"/>
                  </w14:solidFill>
                </w14:textFill>
              </w:rPr>
              <w:t>占比</w:t>
            </w:r>
          </w:p>
        </w:tc>
        <w:tc>
          <w:tcPr>
            <w:tcW w:w="1213" w:type="dxa"/>
            <w:vAlign w:val="center"/>
          </w:tcPr>
          <w:p>
            <w:pPr>
              <w:tabs>
                <w:tab w:val="center" w:pos="4153"/>
                <w:tab w:val="right" w:pos="8306"/>
              </w:tabs>
              <w:snapToGrid w:val="0"/>
              <w:spacing w:line="440" w:lineRule="exact"/>
              <w:jc w:val="center"/>
              <w:rPr>
                <w:rFonts w:eastAsia="方正楷体_GBK" w:cstheme="minorBidi"/>
                <w:color w:val="000000" w:themeColor="text1"/>
                <w:kern w:val="0"/>
                <w:sz w:val="20"/>
                <w:szCs w:val="21"/>
                <w14:textFill>
                  <w14:solidFill>
                    <w14:schemeClr w14:val="tx1"/>
                  </w14:solidFill>
                </w14:textFill>
              </w:rPr>
            </w:pPr>
            <w:r>
              <w:rPr>
                <w:rFonts w:eastAsia="方正楷体_GBK" w:cstheme="minorBidi"/>
                <w:color w:val="000000" w:themeColor="text1"/>
                <w:kern w:val="0"/>
                <w:sz w:val="20"/>
                <w:szCs w:val="21"/>
                <w14:textFill>
                  <w14:solidFill>
                    <w14:schemeClr w14:val="tx1"/>
                  </w14:solidFill>
                </w14:textFill>
              </w:rPr>
              <w:t>宿迁</w:t>
            </w:r>
          </w:p>
        </w:tc>
        <w:tc>
          <w:tcPr>
            <w:tcW w:w="1279" w:type="dxa"/>
            <w:vAlign w:val="center"/>
          </w:tcPr>
          <w:p>
            <w:pPr>
              <w:tabs>
                <w:tab w:val="center" w:pos="4153"/>
                <w:tab w:val="right" w:pos="8306"/>
              </w:tabs>
              <w:snapToGrid w:val="0"/>
              <w:spacing w:line="440" w:lineRule="exact"/>
              <w:jc w:val="center"/>
              <w:rPr>
                <w:rFonts w:eastAsia="方正楷体_GBK" w:cstheme="minorBidi"/>
                <w:color w:val="000000" w:themeColor="text1"/>
                <w:kern w:val="0"/>
                <w:sz w:val="20"/>
                <w:szCs w:val="21"/>
                <w14:textFill>
                  <w14:solidFill>
                    <w14:schemeClr w14:val="tx1"/>
                  </w14:solidFill>
                </w14:textFill>
              </w:rPr>
            </w:pPr>
            <w:r>
              <w:rPr>
                <w:rFonts w:eastAsia="方正楷体_GBK" w:cstheme="minorBidi"/>
                <w:color w:val="000000" w:themeColor="text1"/>
                <w:kern w:val="0"/>
                <w:sz w:val="20"/>
                <w:szCs w:val="21"/>
                <w14:textFill>
                  <w14:solidFill>
                    <w14:schemeClr w14:val="tx1"/>
                  </w14:solidFill>
                </w14:textFill>
              </w:rPr>
              <w:t>全省</w:t>
            </w:r>
          </w:p>
        </w:tc>
        <w:tc>
          <w:tcPr>
            <w:tcW w:w="1616" w:type="dxa"/>
            <w:vAlign w:val="center"/>
          </w:tcPr>
          <w:p>
            <w:pPr>
              <w:tabs>
                <w:tab w:val="center" w:pos="4153"/>
                <w:tab w:val="right" w:pos="8306"/>
              </w:tabs>
              <w:snapToGrid w:val="0"/>
              <w:spacing w:line="440" w:lineRule="exact"/>
              <w:jc w:val="center"/>
              <w:rPr>
                <w:rFonts w:eastAsia="方正楷体_GBK" w:cstheme="minorBidi"/>
                <w:color w:val="000000" w:themeColor="text1"/>
                <w:kern w:val="0"/>
                <w:sz w:val="20"/>
                <w:szCs w:val="21"/>
                <w14:textFill>
                  <w14:solidFill>
                    <w14:schemeClr w14:val="tx1"/>
                  </w14:solidFill>
                </w14:textFill>
              </w:rPr>
            </w:pPr>
            <w:r>
              <w:rPr>
                <w:rFonts w:eastAsia="方正楷体_GBK" w:cstheme="minorBidi"/>
                <w:color w:val="000000" w:themeColor="text1"/>
                <w:kern w:val="0"/>
                <w:sz w:val="20"/>
                <w:szCs w:val="21"/>
                <w14:textFill>
                  <w14:solidFill>
                    <w14:schemeClr w14:val="tx1"/>
                  </w14:solidFill>
                </w14:textFill>
              </w:rPr>
              <w:t>宿迁</w:t>
            </w:r>
          </w:p>
        </w:tc>
        <w:tc>
          <w:tcPr>
            <w:tcW w:w="1446" w:type="dxa"/>
            <w:vAlign w:val="center"/>
          </w:tcPr>
          <w:p>
            <w:pPr>
              <w:tabs>
                <w:tab w:val="center" w:pos="4153"/>
                <w:tab w:val="right" w:pos="8306"/>
              </w:tabs>
              <w:snapToGrid w:val="0"/>
              <w:spacing w:line="440" w:lineRule="exact"/>
              <w:jc w:val="center"/>
              <w:rPr>
                <w:rFonts w:eastAsia="方正楷体_GBK" w:cstheme="minorBidi"/>
                <w:color w:val="000000" w:themeColor="text1"/>
                <w:kern w:val="0"/>
                <w:sz w:val="20"/>
                <w:szCs w:val="21"/>
                <w14:textFill>
                  <w14:solidFill>
                    <w14:schemeClr w14:val="tx1"/>
                  </w14:solidFill>
                </w14:textFill>
              </w:rPr>
            </w:pPr>
            <w:r>
              <w:rPr>
                <w:rFonts w:eastAsia="方正楷体_GBK" w:cstheme="minorBidi"/>
                <w:color w:val="000000" w:themeColor="text1"/>
                <w:kern w:val="0"/>
                <w:sz w:val="20"/>
                <w:szCs w:val="21"/>
                <w14:textFill>
                  <w14:solidFill>
                    <w14:schemeClr w14:val="tx1"/>
                  </w14:solidFill>
                </w14:textFill>
              </w:rPr>
              <w:t>全省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1" w:type="dxa"/>
            <w:vAlign w:val="center"/>
          </w:tcPr>
          <w:p>
            <w:pPr>
              <w:tabs>
                <w:tab w:val="center" w:pos="4153"/>
                <w:tab w:val="right" w:pos="8306"/>
              </w:tabs>
              <w:snapToGrid w:val="0"/>
              <w:spacing w:line="440" w:lineRule="exact"/>
              <w:jc w:val="center"/>
              <w:rPr>
                <w:rFonts w:eastAsiaTheme="minorEastAsia" w:cstheme="minorBidi"/>
                <w:color w:val="000000" w:themeColor="text1"/>
                <w:kern w:val="0"/>
                <w:sz w:val="20"/>
                <w:szCs w:val="21"/>
                <w14:textFill>
                  <w14:solidFill>
                    <w14:schemeClr w14:val="tx1"/>
                  </w14:solidFill>
                </w14:textFill>
              </w:rPr>
            </w:pPr>
            <w:r>
              <w:rPr>
                <w:rFonts w:hint="eastAsia" w:eastAsiaTheme="minorEastAsia" w:cstheme="minorBidi"/>
                <w:color w:val="000000" w:themeColor="text1"/>
                <w:kern w:val="0"/>
                <w:sz w:val="20"/>
                <w:szCs w:val="21"/>
                <w14:textFill>
                  <w14:solidFill>
                    <w14:schemeClr w14:val="tx1"/>
                  </w14:solidFill>
                </w14:textFill>
              </w:rPr>
              <w:t>472</w:t>
            </w:r>
          </w:p>
        </w:tc>
        <w:tc>
          <w:tcPr>
            <w:tcW w:w="1008" w:type="dxa"/>
            <w:vAlign w:val="center"/>
          </w:tcPr>
          <w:p>
            <w:pPr>
              <w:tabs>
                <w:tab w:val="center" w:pos="4153"/>
                <w:tab w:val="right" w:pos="8306"/>
              </w:tabs>
              <w:snapToGrid w:val="0"/>
              <w:spacing w:line="440" w:lineRule="exact"/>
              <w:jc w:val="center"/>
              <w:rPr>
                <w:rFonts w:eastAsiaTheme="minorEastAsia" w:cstheme="minorBidi"/>
                <w:color w:val="000000" w:themeColor="text1"/>
                <w:kern w:val="0"/>
                <w:sz w:val="20"/>
                <w:szCs w:val="21"/>
                <w14:textFill>
                  <w14:solidFill>
                    <w14:schemeClr w14:val="tx1"/>
                  </w14:solidFill>
                </w14:textFill>
              </w:rPr>
            </w:pPr>
            <w:r>
              <w:rPr>
                <w:rFonts w:hint="eastAsia" w:eastAsiaTheme="minorEastAsia" w:cstheme="minorBidi"/>
                <w:color w:val="000000" w:themeColor="text1"/>
                <w:kern w:val="0"/>
                <w:sz w:val="20"/>
                <w:szCs w:val="21"/>
                <w14:textFill>
                  <w14:solidFill>
                    <w14:schemeClr w14:val="tx1"/>
                  </w14:solidFill>
                </w14:textFill>
              </w:rPr>
              <w:t>33027</w:t>
            </w:r>
          </w:p>
        </w:tc>
        <w:tc>
          <w:tcPr>
            <w:tcW w:w="788" w:type="dxa"/>
            <w:vAlign w:val="center"/>
          </w:tcPr>
          <w:p>
            <w:pPr>
              <w:tabs>
                <w:tab w:val="center" w:pos="4153"/>
                <w:tab w:val="right" w:pos="8306"/>
              </w:tabs>
              <w:snapToGrid w:val="0"/>
              <w:spacing w:line="44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1.4</w:t>
            </w:r>
            <w:r>
              <w:rPr>
                <w:rFonts w:hint="eastAsia" w:eastAsiaTheme="minorEastAsia" w:cstheme="minorBidi"/>
                <w:color w:val="000000" w:themeColor="text1"/>
                <w:kern w:val="0"/>
                <w:sz w:val="20"/>
                <w:szCs w:val="21"/>
                <w14:textFill>
                  <w14:solidFill>
                    <w14:schemeClr w14:val="tx1"/>
                  </w14:solidFill>
                </w14:textFill>
              </w:rPr>
              <w:t>3</w:t>
            </w:r>
            <w:r>
              <w:rPr>
                <w:rFonts w:eastAsiaTheme="minorEastAsia" w:cstheme="minorBidi"/>
                <w:color w:val="000000" w:themeColor="text1"/>
                <w:kern w:val="0"/>
                <w:sz w:val="20"/>
                <w:szCs w:val="21"/>
                <w14:textFill>
                  <w14:solidFill>
                    <w14:schemeClr w14:val="tx1"/>
                  </w14:solidFill>
                </w14:textFill>
              </w:rPr>
              <w:t>%</w:t>
            </w:r>
          </w:p>
        </w:tc>
        <w:tc>
          <w:tcPr>
            <w:tcW w:w="1213" w:type="dxa"/>
            <w:vAlign w:val="center"/>
          </w:tcPr>
          <w:p>
            <w:pPr>
              <w:tabs>
                <w:tab w:val="center" w:pos="4153"/>
                <w:tab w:val="right" w:pos="8306"/>
              </w:tabs>
              <w:snapToGrid w:val="0"/>
              <w:spacing w:line="440" w:lineRule="exact"/>
              <w:jc w:val="center"/>
              <w:rPr>
                <w:rFonts w:eastAsiaTheme="minorEastAsia" w:cstheme="minorBidi"/>
                <w:color w:val="000000" w:themeColor="text1"/>
                <w:kern w:val="0"/>
                <w:sz w:val="20"/>
                <w:szCs w:val="21"/>
                <w14:textFill>
                  <w14:solidFill>
                    <w14:schemeClr w14:val="tx1"/>
                  </w14:solidFill>
                </w14:textFill>
              </w:rPr>
            </w:pPr>
            <w:r>
              <w:rPr>
                <w:rFonts w:hint="eastAsia" w:eastAsiaTheme="minorEastAsia" w:cstheme="minorBidi"/>
                <w:color w:val="000000" w:themeColor="text1"/>
                <w:kern w:val="0"/>
                <w:sz w:val="20"/>
                <w:szCs w:val="21"/>
                <w14:textFill>
                  <w14:solidFill>
                    <w14:schemeClr w14:val="tx1"/>
                  </w14:solidFill>
                </w14:textFill>
              </w:rPr>
              <w:t>31.6</w:t>
            </w:r>
          </w:p>
        </w:tc>
        <w:tc>
          <w:tcPr>
            <w:tcW w:w="1279" w:type="dxa"/>
            <w:vAlign w:val="center"/>
          </w:tcPr>
          <w:p>
            <w:pPr>
              <w:tabs>
                <w:tab w:val="center" w:pos="4153"/>
                <w:tab w:val="right" w:pos="8306"/>
              </w:tabs>
              <w:snapToGrid w:val="0"/>
              <w:spacing w:line="440" w:lineRule="exact"/>
              <w:jc w:val="center"/>
              <w:rPr>
                <w:rFonts w:eastAsiaTheme="minorEastAsia" w:cstheme="minorBidi"/>
                <w:color w:val="000000" w:themeColor="text1"/>
                <w:kern w:val="0"/>
                <w:sz w:val="20"/>
                <w:szCs w:val="21"/>
                <w14:textFill>
                  <w14:solidFill>
                    <w14:schemeClr w14:val="tx1"/>
                  </w14:solidFill>
                </w14:textFill>
              </w:rPr>
            </w:pPr>
            <w:r>
              <w:rPr>
                <w:rFonts w:hint="eastAsia" w:eastAsiaTheme="minorEastAsia" w:cstheme="minorBidi"/>
                <w:color w:val="000000" w:themeColor="text1"/>
                <w:kern w:val="0"/>
                <w:sz w:val="20"/>
                <w:szCs w:val="21"/>
                <w14:textFill>
                  <w14:solidFill>
                    <w14:schemeClr w14:val="tx1"/>
                  </w14:solidFill>
                </w14:textFill>
              </w:rPr>
              <w:t>46.5</w:t>
            </w:r>
          </w:p>
        </w:tc>
        <w:tc>
          <w:tcPr>
            <w:tcW w:w="1616" w:type="dxa"/>
            <w:vAlign w:val="center"/>
          </w:tcPr>
          <w:p>
            <w:pPr>
              <w:tabs>
                <w:tab w:val="center" w:pos="4153"/>
                <w:tab w:val="right" w:pos="8306"/>
              </w:tabs>
              <w:snapToGrid w:val="0"/>
              <w:spacing w:line="44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1.9</w:t>
            </w:r>
            <w:r>
              <w:rPr>
                <w:rFonts w:hint="eastAsia" w:eastAsiaTheme="minorEastAsia" w:cstheme="minorBidi"/>
                <w:color w:val="000000" w:themeColor="text1"/>
                <w:kern w:val="0"/>
                <w:sz w:val="20"/>
                <w:szCs w:val="21"/>
                <w14:textFill>
                  <w14:solidFill>
                    <w14:schemeClr w14:val="tx1"/>
                  </w14:solidFill>
                </w14:textFill>
              </w:rPr>
              <w:t>5</w:t>
            </w:r>
          </w:p>
        </w:tc>
        <w:tc>
          <w:tcPr>
            <w:tcW w:w="1446" w:type="dxa"/>
            <w:vAlign w:val="center"/>
          </w:tcPr>
          <w:p>
            <w:pPr>
              <w:tabs>
                <w:tab w:val="center" w:pos="4153"/>
                <w:tab w:val="right" w:pos="8306"/>
              </w:tabs>
              <w:snapToGrid w:val="0"/>
              <w:spacing w:line="440" w:lineRule="exact"/>
              <w:jc w:val="center"/>
              <w:rPr>
                <w:rFonts w:eastAsiaTheme="minorEastAsia" w:cstheme="minorBidi"/>
                <w:color w:val="000000" w:themeColor="text1"/>
                <w:kern w:val="0"/>
                <w:sz w:val="20"/>
                <w:szCs w:val="21"/>
                <w14:textFill>
                  <w14:solidFill>
                    <w14:schemeClr w14:val="tx1"/>
                  </w14:solidFill>
                </w14:textFill>
              </w:rPr>
            </w:pPr>
            <w:r>
              <w:rPr>
                <w:rFonts w:eastAsiaTheme="minorEastAsia" w:cstheme="minorBidi"/>
                <w:color w:val="000000" w:themeColor="text1"/>
                <w:kern w:val="0"/>
                <w:sz w:val="20"/>
                <w:szCs w:val="21"/>
                <w14:textFill>
                  <w14:solidFill>
                    <w14:schemeClr w14:val="tx1"/>
                  </w14:solidFill>
                </w14:textFill>
              </w:rPr>
              <w:t>2.</w:t>
            </w:r>
            <w:r>
              <w:rPr>
                <w:rFonts w:hint="eastAsia" w:eastAsiaTheme="minorEastAsia" w:cstheme="minorBidi"/>
                <w:color w:val="000000" w:themeColor="text1"/>
                <w:kern w:val="0"/>
                <w:sz w:val="20"/>
                <w:szCs w:val="21"/>
                <w14:textFill>
                  <w14:solidFill>
                    <w14:schemeClr w14:val="tx1"/>
                  </w14:solidFill>
                </w14:textFill>
              </w:rPr>
              <w:t>82</w:t>
            </w:r>
          </w:p>
        </w:tc>
      </w:tr>
    </w:tbl>
    <w:p>
      <w:pPr>
        <w:pStyle w:val="8"/>
        <w:spacing w:before="156" w:beforeLines="5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五、融合发展亟待加快</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一是两化融合水平不高。</w:t>
      </w:r>
      <w:r>
        <w:rPr>
          <w:rFonts w:hint="eastAsia"/>
          <w:color w:val="000000" w:themeColor="text1"/>
          <w:sz w:val="32"/>
          <w:szCs w:val="32"/>
          <w14:textFill>
            <w14:solidFill>
              <w14:schemeClr w14:val="tx1"/>
            </w14:solidFill>
          </w14:textFill>
        </w:rPr>
        <w:t>全市两化融合发展水平指数为58.8，低于全省平均水平2.6分，苏北排名第四位。全市创成省三星级及以上“上云”的规上企业189户，仅占规上企业的9.4%，其中五星级仅有洋河股份、德顺纺织2户，整体质量有待进一步提升。</w:t>
      </w:r>
      <w:r>
        <w:rPr>
          <w:color w:val="000000" w:themeColor="text1"/>
          <w:sz w:val="32"/>
          <w:szCs w:val="32"/>
          <w14:textFill>
            <w14:solidFill>
              <w14:schemeClr w14:val="tx1"/>
            </w14:solidFill>
          </w14:textFill>
        </w:rPr>
        <w:t>全市</w:t>
      </w:r>
      <w:r>
        <w:rPr>
          <w:rFonts w:hint="eastAsia"/>
          <w:color w:val="000000" w:themeColor="text1"/>
          <w:sz w:val="32"/>
          <w:szCs w:val="32"/>
          <w14:textFill>
            <w14:solidFill>
              <w14:schemeClr w14:val="tx1"/>
            </w14:solidFill>
          </w14:textFill>
        </w:rPr>
        <w:t>创成省智能工厂的企业仅洋河股份1户，创成省级智能车间的企业21户，仅占规上企业的1.04%。</w:t>
      </w:r>
      <w:r>
        <w:rPr>
          <w:rFonts w:hint="eastAsia"/>
          <w:b/>
          <w:color w:val="000000" w:themeColor="text1"/>
          <w:sz w:val="32"/>
          <w:szCs w:val="32"/>
          <w14:textFill>
            <w14:solidFill>
              <w14:schemeClr w14:val="tx1"/>
            </w14:solidFill>
          </w14:textFill>
        </w:rPr>
        <w:t>二是工业互联网覆盖面较低。</w:t>
      </w:r>
      <w:r>
        <w:rPr>
          <w:rFonts w:hint="eastAsia"/>
          <w:color w:val="000000" w:themeColor="text1"/>
          <w:sz w:val="32"/>
          <w:szCs w:val="32"/>
          <w14:textFill>
            <w14:solidFill>
              <w14:schemeClr w14:val="tx1"/>
            </w14:solidFill>
          </w14:textFill>
        </w:rPr>
        <w:t>全市创成省工业互联网平台和标杆工厂企业仅有4户，仅覆盖酿造（酒）、纺织服装、高端家居等3条重点产业链；通过两化融合贯标的规上企业71户，仅占全市规上企业的3.53%。</w:t>
      </w:r>
    </w:p>
    <w:p>
      <w:pPr>
        <w:spacing w:before="78" w:beforeLines="25" w:line="580" w:lineRule="exact"/>
        <w:jc w:val="center"/>
        <w:rPr>
          <w:rFonts w:eastAsia="方正黑体_GBK"/>
          <w:color w:val="000000" w:themeColor="text1"/>
          <w:sz w:val="28"/>
          <w:szCs w:val="30"/>
          <w14:textFill>
            <w14:solidFill>
              <w14:schemeClr w14:val="tx1"/>
            </w14:solidFill>
          </w14:textFill>
        </w:rPr>
      </w:pPr>
      <w:r>
        <w:rPr>
          <w:rFonts w:eastAsia="方正黑体_GBK"/>
          <w:color w:val="000000" w:themeColor="text1"/>
          <w:sz w:val="28"/>
          <w:szCs w:val="30"/>
          <w14:textFill>
            <w14:solidFill>
              <w14:schemeClr w14:val="tx1"/>
            </w14:solidFill>
          </w14:textFill>
        </w:rPr>
        <w:t>苏北五市</w:t>
      </w:r>
      <w:r>
        <w:rPr>
          <w:rFonts w:hint="eastAsia" w:eastAsia="方正黑体_GBK"/>
          <w:color w:val="000000" w:themeColor="text1"/>
          <w:sz w:val="28"/>
          <w:szCs w:val="30"/>
          <w14:textFill>
            <w14:solidFill>
              <w14:schemeClr w14:val="tx1"/>
            </w14:solidFill>
          </w14:textFill>
        </w:rPr>
        <w:t>2020</w:t>
      </w:r>
      <w:r>
        <w:rPr>
          <w:rFonts w:eastAsia="方正黑体_GBK"/>
          <w:color w:val="000000" w:themeColor="text1"/>
          <w:sz w:val="28"/>
          <w:szCs w:val="30"/>
          <w14:textFill>
            <w14:solidFill>
              <w14:schemeClr w14:val="tx1"/>
            </w14:solidFill>
          </w14:textFill>
        </w:rPr>
        <w:t>年</w:t>
      </w:r>
      <w:r>
        <w:rPr>
          <w:rFonts w:hint="eastAsia" w:eastAsia="方正黑体_GBK"/>
          <w:color w:val="000000" w:themeColor="text1"/>
          <w:sz w:val="28"/>
          <w:szCs w:val="30"/>
          <w14:textFill>
            <w14:solidFill>
              <w14:schemeClr w14:val="tx1"/>
            </w14:solidFill>
          </w14:textFill>
        </w:rPr>
        <w:t>两化融合发展水平指数</w:t>
      </w:r>
      <w:r>
        <w:rPr>
          <w:rFonts w:eastAsia="方正黑体_GBK"/>
          <w:color w:val="000000" w:themeColor="text1"/>
          <w:sz w:val="28"/>
          <w:szCs w:val="30"/>
          <w14:textFill>
            <w14:solidFill>
              <w14:schemeClr w14:val="tx1"/>
            </w14:solidFill>
          </w14:textFill>
        </w:rPr>
        <w:t>对比表</w:t>
      </w:r>
      <w:r>
        <w:rPr>
          <w:rFonts w:hint="eastAsia" w:eastAsia="方正黑体_GBK"/>
          <w:color w:val="000000" w:themeColor="text1"/>
          <w:sz w:val="28"/>
          <w:szCs w:val="30"/>
          <w14:textFill>
            <w14:solidFill>
              <w14:schemeClr w14:val="tx1"/>
            </w14:solidFill>
          </w14:textFill>
        </w:rPr>
        <w:t>（表八）</w:t>
      </w:r>
    </w:p>
    <w:tbl>
      <w:tblPr>
        <w:tblStyle w:val="52"/>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3"/>
        <w:gridCol w:w="945"/>
        <w:gridCol w:w="917"/>
        <w:gridCol w:w="930"/>
        <w:gridCol w:w="1012"/>
        <w:gridCol w:w="957"/>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3" w:type="dxa"/>
            <w:vAlign w:val="center"/>
          </w:tcPr>
          <w:p>
            <w:pPr>
              <w:spacing w:line="440" w:lineRule="exact"/>
              <w:jc w:val="center"/>
              <w:rPr>
                <w:rFonts w:eastAsia="方正黑体_GBK" w:cstheme="minorBidi"/>
                <w:color w:val="000000" w:themeColor="text1"/>
                <w:kern w:val="0"/>
                <w:sz w:val="20"/>
                <w:szCs w:val="21"/>
                <w14:textFill>
                  <w14:solidFill>
                    <w14:schemeClr w14:val="tx1"/>
                  </w14:solidFill>
                </w14:textFill>
              </w:rPr>
            </w:pPr>
            <w:r>
              <w:rPr>
                <w:rFonts w:eastAsia="方正黑体_GBK" w:cstheme="minorBidi"/>
                <w:color w:val="000000" w:themeColor="text1"/>
                <w:kern w:val="0"/>
                <w:sz w:val="20"/>
                <w:szCs w:val="21"/>
                <w14:textFill>
                  <w14:solidFill>
                    <w14:schemeClr w14:val="tx1"/>
                  </w14:solidFill>
                </w14:textFill>
              </w:rPr>
              <w:t>指标</w:t>
            </w:r>
          </w:p>
        </w:tc>
        <w:tc>
          <w:tcPr>
            <w:tcW w:w="945" w:type="dxa"/>
            <w:vAlign w:val="center"/>
          </w:tcPr>
          <w:p>
            <w:pPr>
              <w:spacing w:line="440" w:lineRule="exact"/>
              <w:jc w:val="center"/>
              <w:rPr>
                <w:rFonts w:eastAsia="方正黑体_GBK" w:cstheme="minorBidi"/>
                <w:color w:val="000000" w:themeColor="text1"/>
                <w:kern w:val="0"/>
                <w:sz w:val="20"/>
                <w:szCs w:val="21"/>
                <w14:textFill>
                  <w14:solidFill>
                    <w14:schemeClr w14:val="tx1"/>
                  </w14:solidFill>
                </w14:textFill>
              </w:rPr>
            </w:pPr>
            <w:r>
              <w:rPr>
                <w:rFonts w:eastAsia="方正黑体_GBK" w:cstheme="minorBidi"/>
                <w:color w:val="000000" w:themeColor="text1"/>
                <w:kern w:val="0"/>
                <w:sz w:val="20"/>
                <w:szCs w:val="21"/>
                <w14:textFill>
                  <w14:solidFill>
                    <w14:schemeClr w14:val="tx1"/>
                  </w14:solidFill>
                </w14:textFill>
              </w:rPr>
              <w:t>宿迁</w:t>
            </w:r>
          </w:p>
        </w:tc>
        <w:tc>
          <w:tcPr>
            <w:tcW w:w="917" w:type="dxa"/>
            <w:vAlign w:val="center"/>
          </w:tcPr>
          <w:p>
            <w:pPr>
              <w:spacing w:line="440" w:lineRule="exact"/>
              <w:jc w:val="center"/>
              <w:rPr>
                <w:rFonts w:eastAsia="方正黑体_GBK" w:cstheme="minorBidi"/>
                <w:color w:val="000000" w:themeColor="text1"/>
                <w:kern w:val="0"/>
                <w:sz w:val="20"/>
                <w:szCs w:val="21"/>
                <w14:textFill>
                  <w14:solidFill>
                    <w14:schemeClr w14:val="tx1"/>
                  </w14:solidFill>
                </w14:textFill>
              </w:rPr>
            </w:pPr>
            <w:r>
              <w:rPr>
                <w:rFonts w:eastAsia="方正黑体_GBK" w:cstheme="minorBidi"/>
                <w:color w:val="000000" w:themeColor="text1"/>
                <w:kern w:val="0"/>
                <w:sz w:val="20"/>
                <w:szCs w:val="21"/>
                <w14:textFill>
                  <w14:solidFill>
                    <w14:schemeClr w14:val="tx1"/>
                  </w14:solidFill>
                </w14:textFill>
              </w:rPr>
              <w:t>徐州</w:t>
            </w:r>
          </w:p>
        </w:tc>
        <w:tc>
          <w:tcPr>
            <w:tcW w:w="930" w:type="dxa"/>
            <w:vAlign w:val="center"/>
          </w:tcPr>
          <w:p>
            <w:pPr>
              <w:spacing w:line="440" w:lineRule="exact"/>
              <w:jc w:val="center"/>
              <w:rPr>
                <w:rFonts w:eastAsia="方正黑体_GBK" w:cstheme="minorBidi"/>
                <w:color w:val="000000" w:themeColor="text1"/>
                <w:kern w:val="0"/>
                <w:sz w:val="20"/>
                <w:szCs w:val="21"/>
                <w14:textFill>
                  <w14:solidFill>
                    <w14:schemeClr w14:val="tx1"/>
                  </w14:solidFill>
                </w14:textFill>
              </w:rPr>
            </w:pPr>
            <w:r>
              <w:rPr>
                <w:rFonts w:eastAsia="方正黑体_GBK" w:cstheme="minorBidi"/>
                <w:color w:val="000000" w:themeColor="text1"/>
                <w:kern w:val="0"/>
                <w:sz w:val="20"/>
                <w:szCs w:val="21"/>
                <w14:textFill>
                  <w14:solidFill>
                    <w14:schemeClr w14:val="tx1"/>
                  </w14:solidFill>
                </w14:textFill>
              </w:rPr>
              <w:t>连云港</w:t>
            </w:r>
          </w:p>
        </w:tc>
        <w:tc>
          <w:tcPr>
            <w:tcW w:w="1012" w:type="dxa"/>
            <w:vAlign w:val="center"/>
          </w:tcPr>
          <w:p>
            <w:pPr>
              <w:spacing w:line="440" w:lineRule="exact"/>
              <w:jc w:val="center"/>
              <w:rPr>
                <w:rFonts w:eastAsia="方正黑体_GBK" w:cstheme="minorBidi"/>
                <w:color w:val="000000" w:themeColor="text1"/>
                <w:kern w:val="0"/>
                <w:sz w:val="20"/>
                <w:szCs w:val="21"/>
                <w14:textFill>
                  <w14:solidFill>
                    <w14:schemeClr w14:val="tx1"/>
                  </w14:solidFill>
                </w14:textFill>
              </w:rPr>
            </w:pPr>
            <w:r>
              <w:rPr>
                <w:rFonts w:eastAsia="方正黑体_GBK" w:cstheme="minorBidi"/>
                <w:color w:val="000000" w:themeColor="text1"/>
                <w:kern w:val="0"/>
                <w:sz w:val="20"/>
                <w:szCs w:val="21"/>
                <w14:textFill>
                  <w14:solidFill>
                    <w14:schemeClr w14:val="tx1"/>
                  </w14:solidFill>
                </w14:textFill>
              </w:rPr>
              <w:t>盐城</w:t>
            </w:r>
          </w:p>
        </w:tc>
        <w:tc>
          <w:tcPr>
            <w:tcW w:w="957" w:type="dxa"/>
            <w:vAlign w:val="center"/>
          </w:tcPr>
          <w:p>
            <w:pPr>
              <w:spacing w:line="440" w:lineRule="exact"/>
              <w:jc w:val="center"/>
              <w:rPr>
                <w:rFonts w:eastAsia="方正黑体_GBK" w:cstheme="minorBidi"/>
                <w:color w:val="000000" w:themeColor="text1"/>
                <w:kern w:val="0"/>
                <w:sz w:val="20"/>
                <w:szCs w:val="21"/>
                <w14:textFill>
                  <w14:solidFill>
                    <w14:schemeClr w14:val="tx1"/>
                  </w14:solidFill>
                </w14:textFill>
              </w:rPr>
            </w:pPr>
            <w:r>
              <w:rPr>
                <w:rFonts w:eastAsia="方正黑体_GBK" w:cstheme="minorBidi"/>
                <w:color w:val="000000" w:themeColor="text1"/>
                <w:kern w:val="0"/>
                <w:sz w:val="20"/>
                <w:szCs w:val="21"/>
                <w14:textFill>
                  <w14:solidFill>
                    <w14:schemeClr w14:val="tx1"/>
                  </w14:solidFill>
                </w14:textFill>
              </w:rPr>
              <w:t>淮安</w:t>
            </w:r>
          </w:p>
        </w:tc>
        <w:tc>
          <w:tcPr>
            <w:tcW w:w="1322" w:type="dxa"/>
            <w:vAlign w:val="center"/>
          </w:tcPr>
          <w:p>
            <w:pPr>
              <w:spacing w:line="440" w:lineRule="exact"/>
              <w:jc w:val="center"/>
              <w:rPr>
                <w:rFonts w:eastAsia="方正黑体_GBK" w:cstheme="minorBidi"/>
                <w:color w:val="000000" w:themeColor="text1"/>
                <w:kern w:val="0"/>
                <w:sz w:val="20"/>
                <w:szCs w:val="21"/>
                <w14:textFill>
                  <w14:solidFill>
                    <w14:schemeClr w14:val="tx1"/>
                  </w14:solidFill>
                </w14:textFill>
              </w:rPr>
            </w:pPr>
            <w:r>
              <w:rPr>
                <w:rFonts w:eastAsia="方正黑体_GBK" w:cstheme="minorBidi"/>
                <w:color w:val="000000" w:themeColor="text1"/>
                <w:kern w:val="0"/>
                <w:sz w:val="20"/>
                <w:szCs w:val="21"/>
                <w14:textFill>
                  <w14:solidFill>
                    <w14:schemeClr w14:val="tx1"/>
                  </w14:solidFill>
                </w14:textFill>
              </w:rPr>
              <w:t>全省平均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83" w:type="dxa"/>
            <w:vAlign w:val="center"/>
          </w:tcPr>
          <w:p>
            <w:pPr>
              <w:spacing w:line="440" w:lineRule="exact"/>
              <w:jc w:val="center"/>
              <w:rPr>
                <w:rFonts w:eastAsia="方正楷体_GBK" w:cstheme="minorBidi"/>
                <w:color w:val="000000" w:themeColor="text1"/>
                <w:kern w:val="0"/>
                <w:sz w:val="20"/>
                <w:szCs w:val="21"/>
                <w14:textFill>
                  <w14:solidFill>
                    <w14:schemeClr w14:val="tx1"/>
                  </w14:solidFill>
                </w14:textFill>
              </w:rPr>
            </w:pPr>
            <w:r>
              <w:rPr>
                <w:rFonts w:hint="eastAsia" w:eastAsia="方正楷体_GBK" w:cs="方正楷体_GBK"/>
                <w:color w:val="000000" w:themeColor="text1"/>
                <w:kern w:val="0"/>
                <w:sz w:val="20"/>
                <w:szCs w:val="21"/>
                <w14:textFill>
                  <w14:solidFill>
                    <w14:schemeClr w14:val="tx1"/>
                  </w14:solidFill>
                </w14:textFill>
              </w:rPr>
              <w:t>两化融合发展指数</w:t>
            </w:r>
          </w:p>
        </w:tc>
        <w:tc>
          <w:tcPr>
            <w:tcW w:w="945" w:type="dxa"/>
            <w:vAlign w:val="center"/>
          </w:tcPr>
          <w:p>
            <w:pPr>
              <w:spacing w:line="440" w:lineRule="exact"/>
              <w:jc w:val="center"/>
              <w:rPr>
                <w:rFonts w:eastAsiaTheme="minorEastAsia" w:cstheme="minorBidi"/>
                <w:color w:val="000000" w:themeColor="text1"/>
                <w:kern w:val="0"/>
                <w:sz w:val="20"/>
                <w:szCs w:val="21"/>
                <w14:textFill>
                  <w14:solidFill>
                    <w14:schemeClr w14:val="tx1"/>
                  </w14:solidFill>
                </w14:textFill>
              </w:rPr>
            </w:pPr>
            <w:r>
              <w:rPr>
                <w:rFonts w:hint="eastAsia" w:eastAsiaTheme="minorEastAsia" w:cstheme="minorBidi"/>
                <w:color w:val="000000" w:themeColor="text1"/>
                <w:kern w:val="0"/>
                <w:sz w:val="20"/>
                <w:szCs w:val="21"/>
                <w14:textFill>
                  <w14:solidFill>
                    <w14:schemeClr w14:val="tx1"/>
                  </w14:solidFill>
                </w14:textFill>
              </w:rPr>
              <w:t>58.8</w:t>
            </w:r>
          </w:p>
        </w:tc>
        <w:tc>
          <w:tcPr>
            <w:tcW w:w="917" w:type="dxa"/>
            <w:vAlign w:val="center"/>
          </w:tcPr>
          <w:p>
            <w:pPr>
              <w:spacing w:line="440" w:lineRule="exact"/>
              <w:jc w:val="center"/>
              <w:rPr>
                <w:rFonts w:eastAsiaTheme="minorEastAsia" w:cstheme="minorBidi"/>
                <w:color w:val="000000" w:themeColor="text1"/>
                <w:kern w:val="0"/>
                <w:sz w:val="20"/>
                <w:szCs w:val="21"/>
                <w14:textFill>
                  <w14:solidFill>
                    <w14:schemeClr w14:val="tx1"/>
                  </w14:solidFill>
                </w14:textFill>
              </w:rPr>
            </w:pPr>
            <w:r>
              <w:rPr>
                <w:rFonts w:hint="eastAsia" w:eastAsiaTheme="minorEastAsia" w:cstheme="minorBidi"/>
                <w:color w:val="000000" w:themeColor="text1"/>
                <w:kern w:val="0"/>
                <w:sz w:val="20"/>
                <w:szCs w:val="21"/>
                <w14:textFill>
                  <w14:solidFill>
                    <w14:schemeClr w14:val="tx1"/>
                  </w14:solidFill>
                </w14:textFill>
              </w:rPr>
              <w:t>64.7</w:t>
            </w:r>
          </w:p>
        </w:tc>
        <w:tc>
          <w:tcPr>
            <w:tcW w:w="930" w:type="dxa"/>
            <w:vAlign w:val="center"/>
          </w:tcPr>
          <w:p>
            <w:pPr>
              <w:spacing w:line="440" w:lineRule="exact"/>
              <w:jc w:val="center"/>
              <w:rPr>
                <w:rFonts w:eastAsiaTheme="minorEastAsia" w:cstheme="minorBidi"/>
                <w:color w:val="000000" w:themeColor="text1"/>
                <w:kern w:val="0"/>
                <w:sz w:val="20"/>
                <w:szCs w:val="21"/>
                <w14:textFill>
                  <w14:solidFill>
                    <w14:schemeClr w14:val="tx1"/>
                  </w14:solidFill>
                </w14:textFill>
              </w:rPr>
            </w:pPr>
            <w:r>
              <w:rPr>
                <w:rFonts w:hint="eastAsia" w:eastAsiaTheme="minorEastAsia" w:cstheme="minorBidi"/>
                <w:color w:val="000000" w:themeColor="text1"/>
                <w:kern w:val="0"/>
                <w:sz w:val="20"/>
                <w:szCs w:val="21"/>
                <w14:textFill>
                  <w14:solidFill>
                    <w14:schemeClr w14:val="tx1"/>
                  </w14:solidFill>
                </w14:textFill>
              </w:rPr>
              <w:t>61</w:t>
            </w:r>
          </w:p>
        </w:tc>
        <w:tc>
          <w:tcPr>
            <w:tcW w:w="1012" w:type="dxa"/>
            <w:vAlign w:val="center"/>
          </w:tcPr>
          <w:p>
            <w:pPr>
              <w:spacing w:line="440" w:lineRule="exact"/>
              <w:jc w:val="center"/>
              <w:rPr>
                <w:rFonts w:eastAsiaTheme="minorEastAsia" w:cstheme="minorBidi"/>
                <w:color w:val="000000" w:themeColor="text1"/>
                <w:kern w:val="0"/>
                <w:sz w:val="20"/>
                <w:szCs w:val="21"/>
                <w14:textFill>
                  <w14:solidFill>
                    <w14:schemeClr w14:val="tx1"/>
                  </w14:solidFill>
                </w14:textFill>
              </w:rPr>
            </w:pPr>
            <w:r>
              <w:rPr>
                <w:rFonts w:hint="eastAsia" w:eastAsiaTheme="minorEastAsia" w:cstheme="minorBidi"/>
                <w:color w:val="000000" w:themeColor="text1"/>
                <w:kern w:val="0"/>
                <w:sz w:val="20"/>
                <w:szCs w:val="21"/>
                <w14:textFill>
                  <w14:solidFill>
                    <w14:schemeClr w14:val="tx1"/>
                  </w14:solidFill>
                </w14:textFill>
              </w:rPr>
              <w:t>59.2</w:t>
            </w:r>
          </w:p>
        </w:tc>
        <w:tc>
          <w:tcPr>
            <w:tcW w:w="957" w:type="dxa"/>
            <w:vAlign w:val="center"/>
          </w:tcPr>
          <w:p>
            <w:pPr>
              <w:spacing w:line="440" w:lineRule="exact"/>
              <w:jc w:val="center"/>
              <w:rPr>
                <w:rFonts w:eastAsiaTheme="minorEastAsia" w:cstheme="minorBidi"/>
                <w:color w:val="000000" w:themeColor="text1"/>
                <w:kern w:val="0"/>
                <w:sz w:val="20"/>
                <w:szCs w:val="21"/>
                <w14:textFill>
                  <w14:solidFill>
                    <w14:schemeClr w14:val="tx1"/>
                  </w14:solidFill>
                </w14:textFill>
              </w:rPr>
            </w:pPr>
            <w:r>
              <w:rPr>
                <w:rFonts w:hint="eastAsia" w:eastAsiaTheme="minorEastAsia" w:cstheme="minorBidi"/>
                <w:color w:val="000000" w:themeColor="text1"/>
                <w:kern w:val="0"/>
                <w:sz w:val="20"/>
                <w:szCs w:val="21"/>
                <w14:textFill>
                  <w14:solidFill>
                    <w14:schemeClr w14:val="tx1"/>
                  </w14:solidFill>
                </w14:textFill>
              </w:rPr>
              <w:t>56.1</w:t>
            </w:r>
          </w:p>
        </w:tc>
        <w:tc>
          <w:tcPr>
            <w:tcW w:w="1322" w:type="dxa"/>
            <w:vAlign w:val="center"/>
          </w:tcPr>
          <w:p>
            <w:pPr>
              <w:spacing w:line="440" w:lineRule="exact"/>
              <w:jc w:val="center"/>
              <w:rPr>
                <w:rFonts w:eastAsiaTheme="minorEastAsia" w:cstheme="minorBidi"/>
                <w:color w:val="000000" w:themeColor="text1"/>
                <w:kern w:val="0"/>
                <w:sz w:val="20"/>
                <w:szCs w:val="21"/>
                <w14:textFill>
                  <w14:solidFill>
                    <w14:schemeClr w14:val="tx1"/>
                  </w14:solidFill>
                </w14:textFill>
              </w:rPr>
            </w:pPr>
            <w:r>
              <w:rPr>
                <w:rFonts w:hint="eastAsia" w:eastAsiaTheme="minorEastAsia" w:cstheme="minorBidi"/>
                <w:color w:val="000000" w:themeColor="text1"/>
                <w:kern w:val="0"/>
                <w:sz w:val="20"/>
                <w:szCs w:val="21"/>
                <w14:textFill>
                  <w14:solidFill>
                    <w14:schemeClr w14:val="tx1"/>
                  </w14:solidFill>
                </w14:textFill>
              </w:rPr>
              <w:t>61.4</w:t>
            </w:r>
          </w:p>
        </w:tc>
      </w:tr>
    </w:tbl>
    <w:p>
      <w:pPr>
        <w:pStyle w:val="8"/>
        <w:spacing w:before="156" w:beforeLines="5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六</w:t>
      </w:r>
      <w:r>
        <w:rPr>
          <w:rFonts w:eastAsia="方正黑体_GBK"/>
          <w:b w:val="0"/>
          <w:color w:val="000000" w:themeColor="text1"/>
          <w14:textFill>
            <w14:solidFill>
              <w14:schemeClr w14:val="tx1"/>
            </w14:solidFill>
          </w14:textFill>
        </w:rPr>
        <w:t>、支撑保障能力不足</w:t>
      </w:r>
    </w:p>
    <w:p>
      <w:pPr>
        <w:pStyle w:val="2"/>
        <w:spacing w:before="0" w:beforeAutospacing="0" w:line="580" w:lineRule="exact"/>
        <w:ind w:firstLine="643" w:firstLineChars="200"/>
        <w:rPr>
          <w:rFonts w:ascii="Times New Roman" w:hAnsi="Times New Roman" w:eastAsia="方正仿宋_GBK"/>
          <w:b w:val="0"/>
          <w:bCs w:val="0"/>
          <w:color w:val="000000" w:themeColor="text1"/>
          <w:sz w:val="32"/>
          <w:szCs w:val="32"/>
          <w:lang w:val="en-US"/>
          <w14:textFill>
            <w14:solidFill>
              <w14:schemeClr w14:val="tx1"/>
            </w14:solidFill>
          </w14:textFill>
        </w:rPr>
      </w:pPr>
      <w:r>
        <w:rPr>
          <w:rFonts w:hint="eastAsia" w:ascii="Times New Roman" w:hAnsi="Times New Roman" w:eastAsia="方正仿宋_GBK" w:cs="方正仿宋_GBK"/>
          <w:color w:val="000000" w:themeColor="text1"/>
          <w:sz w:val="32"/>
          <w:szCs w:val="32"/>
          <w14:textFill>
            <w14:solidFill>
              <w14:schemeClr w14:val="tx1"/>
            </w14:solidFill>
          </w14:textFill>
        </w:rPr>
        <w:t>一是人才资源相对匮乏。</w:t>
      </w:r>
      <w:r>
        <w:rPr>
          <w:rFonts w:ascii="Times New Roman" w:hAnsi="Times New Roman" w:eastAsia="方正仿宋_GBK"/>
          <w:b w:val="0"/>
          <w:bCs w:val="0"/>
          <w:color w:val="000000" w:themeColor="text1"/>
          <w:sz w:val="32"/>
          <w:szCs w:val="32"/>
          <w14:textFill>
            <w14:solidFill>
              <w14:schemeClr w14:val="tx1"/>
            </w14:solidFill>
          </w14:textFill>
        </w:rPr>
        <w:t>高层次人才引不来、留不住、用不上，入选省博士计划、省双创计划人才仅占全省3%~4%。</w:t>
      </w:r>
      <w:r>
        <w:rPr>
          <w:rFonts w:ascii="Times New Roman" w:hAnsi="Times New Roman" w:eastAsia="方正仿宋_GBK"/>
          <w:b w:val="0"/>
          <w:bCs w:val="0"/>
          <w:color w:val="000000" w:themeColor="text1"/>
          <w:sz w:val="32"/>
          <w:szCs w:val="32"/>
          <w:lang w:val="en-US"/>
          <w14:textFill>
            <w14:solidFill>
              <w14:schemeClr w14:val="tx1"/>
            </w14:solidFill>
          </w14:textFill>
        </w:rPr>
        <w:t>缺少知名高等院校，</w:t>
      </w:r>
      <w:r>
        <w:rPr>
          <w:rFonts w:ascii="Times New Roman" w:hAnsi="Times New Roman" w:eastAsia="方正仿宋_GBK"/>
          <w:b w:val="0"/>
          <w:bCs w:val="0"/>
          <w:color w:val="000000" w:themeColor="text1"/>
          <w:sz w:val="32"/>
          <w:szCs w:val="32"/>
          <w14:textFill>
            <w14:solidFill>
              <w14:schemeClr w14:val="tx1"/>
            </w14:solidFill>
          </w14:textFill>
        </w:rPr>
        <w:t>职业</w:t>
      </w:r>
      <w:r>
        <w:rPr>
          <w:rFonts w:hint="eastAsia" w:ascii="Times New Roman" w:hAnsi="Times New Roman" w:eastAsia="方正仿宋_GBK"/>
          <w:b w:val="0"/>
          <w:bCs w:val="0"/>
          <w:color w:val="000000" w:themeColor="text1"/>
          <w:sz w:val="32"/>
          <w:szCs w:val="32"/>
          <w:lang w:val="en-US"/>
          <w14:textFill>
            <w14:solidFill>
              <w14:schemeClr w14:val="tx1"/>
            </w14:solidFill>
          </w14:textFill>
        </w:rPr>
        <w:t>院</w:t>
      </w:r>
      <w:r>
        <w:rPr>
          <w:rFonts w:ascii="Times New Roman" w:hAnsi="Times New Roman" w:eastAsia="方正仿宋_GBK"/>
          <w:b w:val="0"/>
          <w:bCs w:val="0"/>
          <w:color w:val="000000" w:themeColor="text1"/>
          <w:sz w:val="32"/>
          <w:szCs w:val="32"/>
          <w14:textFill>
            <w14:solidFill>
              <w14:schemeClr w14:val="tx1"/>
            </w14:solidFill>
          </w14:textFill>
        </w:rPr>
        <w:t>校</w:t>
      </w:r>
      <w:r>
        <w:rPr>
          <w:rFonts w:hint="eastAsia" w:ascii="Times New Roman" w:hAnsi="Times New Roman" w:eastAsia="方正仿宋_GBK"/>
          <w:b w:val="0"/>
          <w:bCs w:val="0"/>
          <w:color w:val="000000" w:themeColor="text1"/>
          <w:sz w:val="32"/>
          <w:szCs w:val="32"/>
          <w:lang w:val="en-US"/>
          <w14:textFill>
            <w14:solidFill>
              <w14:schemeClr w14:val="tx1"/>
            </w14:solidFill>
          </w14:textFill>
        </w:rPr>
        <w:t>专业设置和专技人才培养</w:t>
      </w:r>
      <w:r>
        <w:rPr>
          <w:rFonts w:ascii="Times New Roman" w:hAnsi="Times New Roman" w:eastAsia="方正仿宋_GBK"/>
          <w:b w:val="0"/>
          <w:bCs w:val="0"/>
          <w:color w:val="000000" w:themeColor="text1"/>
          <w:sz w:val="32"/>
          <w:szCs w:val="32"/>
          <w14:textFill>
            <w14:solidFill>
              <w14:schemeClr w14:val="tx1"/>
            </w14:solidFill>
          </w14:textFill>
        </w:rPr>
        <w:t>与本地产业的契合度不高。</w:t>
      </w:r>
      <w:r>
        <w:rPr>
          <w:rFonts w:hint="eastAsia" w:ascii="Times New Roman" w:hAnsi="Times New Roman" w:eastAsia="方正仿宋_GBK"/>
          <w:b w:val="0"/>
          <w:bCs w:val="0"/>
          <w:color w:val="000000" w:themeColor="text1"/>
          <w:sz w:val="32"/>
          <w:szCs w:val="32"/>
          <w14:textFill>
            <w14:solidFill>
              <w14:schemeClr w14:val="tx1"/>
            </w14:solidFill>
          </w14:textFill>
        </w:rPr>
        <w:t>技能人才和普通劳动力供应偏紧。</w:t>
      </w:r>
      <w:r>
        <w:rPr>
          <w:rFonts w:hint="eastAsia" w:ascii="Times New Roman" w:hAnsi="Times New Roman" w:eastAsia="方正仿宋_GBK" w:cs="方正仿宋_GBK"/>
          <w:color w:val="000000" w:themeColor="text1"/>
          <w:sz w:val="32"/>
          <w:szCs w:val="32"/>
          <w14:textFill>
            <w14:solidFill>
              <w14:schemeClr w14:val="tx1"/>
            </w14:solidFill>
          </w14:textFill>
        </w:rPr>
        <w:t>二是要素保障亟需加强</w:t>
      </w:r>
      <w:r>
        <w:rPr>
          <w:rFonts w:hint="eastAsia" w:ascii="Times New Roman" w:hAnsi="Times New Roman" w:eastAsia="方正仿宋_GBK"/>
          <w:b w:val="0"/>
          <w:bCs w:val="0"/>
          <w:color w:val="000000" w:themeColor="text1"/>
          <w:sz w:val="32"/>
          <w:szCs w:val="32"/>
          <w:lang w:val="en-US"/>
          <w14:textFill>
            <w14:solidFill>
              <w14:schemeClr w14:val="tx1"/>
            </w14:solidFill>
          </w14:textFill>
        </w:rPr>
        <w:t>。物流运输成本相对较弱，天然气高峰时供应不足，安全、环保、要求愈加严格，土地供应偏紧，环境容量、煤炭指标、产能指标不足等问题逐步凸显。</w:t>
      </w:r>
      <w:r>
        <w:rPr>
          <w:rFonts w:ascii="Times New Roman" w:hAnsi="Times New Roman" w:eastAsia="方正仿宋_GBK"/>
          <w:color w:val="000000" w:themeColor="text1"/>
          <w:sz w:val="32"/>
          <w:szCs w:val="32"/>
          <w:lang w:val="en-US"/>
          <w14:textFill>
            <w14:solidFill>
              <w14:schemeClr w14:val="tx1"/>
            </w14:solidFill>
          </w14:textFill>
        </w:rPr>
        <w:t>三是载体功能不够完善。</w:t>
      </w:r>
      <w:r>
        <w:rPr>
          <w:rFonts w:ascii="Times New Roman" w:hAnsi="Times New Roman" w:eastAsia="方正仿宋_GBK"/>
          <w:b w:val="0"/>
          <w:bCs w:val="0"/>
          <w:color w:val="000000" w:themeColor="text1"/>
          <w:sz w:val="32"/>
          <w:szCs w:val="32"/>
          <w:lang w:val="en-US"/>
          <w14:textFill>
            <w14:solidFill>
              <w14:schemeClr w14:val="tx1"/>
            </w14:solidFill>
          </w14:textFill>
        </w:rPr>
        <w:t>开发区、高新区和工业园区产业发展层次低，创新能力不足，各类综合考核评价中明显落后</w:t>
      </w:r>
      <w:r>
        <w:rPr>
          <w:rFonts w:hint="eastAsia" w:ascii="Times New Roman" w:hAnsi="Times New Roman" w:eastAsia="方正仿宋_GBK"/>
          <w:b w:val="0"/>
          <w:bCs w:val="0"/>
          <w:color w:val="000000" w:themeColor="text1"/>
          <w:sz w:val="32"/>
          <w:szCs w:val="32"/>
          <w:lang w:val="en-US"/>
          <w14:textFill>
            <w14:solidFill>
              <w14:schemeClr w14:val="tx1"/>
            </w14:solidFill>
          </w14:textFill>
        </w:rPr>
        <w:t>，产业配套能力和服务供给水平有待改善。</w:t>
      </w:r>
    </w:p>
    <w:p>
      <w:pPr>
        <w:pStyle w:val="2"/>
        <w:spacing w:before="0" w:beforeAutospacing="0" w:line="580" w:lineRule="exact"/>
        <w:ind w:firstLine="640" w:firstLineChars="200"/>
        <w:rPr>
          <w:rFonts w:ascii="Times New Roman" w:hAnsi="Times New Roman" w:eastAsia="方正仿宋_GBK"/>
          <w:b w:val="0"/>
          <w:bCs w:val="0"/>
          <w:color w:val="000000" w:themeColor="text1"/>
          <w:sz w:val="32"/>
          <w:szCs w:val="32"/>
          <w:lang w:val="en-US"/>
          <w14:textFill>
            <w14:solidFill>
              <w14:schemeClr w14:val="tx1"/>
            </w14:solidFill>
          </w14:textFill>
        </w:rPr>
      </w:pPr>
    </w:p>
    <w:p>
      <w:pPr>
        <w:widowControl/>
        <w:spacing w:line="580" w:lineRule="exact"/>
        <w:jc w:val="left"/>
        <w:rPr>
          <w:color w:val="000000" w:themeColor="text1"/>
          <w:sz w:val="32"/>
          <w:szCs w:val="32"/>
          <w:lang w:bidi="zh-CN"/>
          <w14:textFill>
            <w14:solidFill>
              <w14:schemeClr w14:val="tx1"/>
            </w14:solidFill>
          </w14:textFill>
        </w:rPr>
      </w:pPr>
      <w:r>
        <w:rPr>
          <w:b/>
          <w:bCs/>
          <w:color w:val="000000" w:themeColor="text1"/>
          <w:sz w:val="32"/>
          <w:szCs w:val="32"/>
          <w14:textFill>
            <w14:solidFill>
              <w14:schemeClr w14:val="tx1"/>
            </w14:solidFill>
          </w14:textFill>
        </w:rPr>
        <w:br w:type="page"/>
      </w:r>
    </w:p>
    <w:p>
      <w:pPr>
        <w:pStyle w:val="2"/>
        <w:spacing w:before="0" w:beforeAutospacing="0" w:line="580" w:lineRule="exact"/>
        <w:ind w:firstLine="640" w:firstLineChars="200"/>
        <w:rPr>
          <w:rFonts w:ascii="Times New Roman" w:hAnsi="Times New Roman" w:eastAsia="方正仿宋_GBK"/>
          <w:b w:val="0"/>
          <w:bCs w:val="0"/>
          <w:color w:val="000000" w:themeColor="text1"/>
          <w:sz w:val="32"/>
          <w:szCs w:val="32"/>
          <w:lang w:val="en-US"/>
          <w14:textFill>
            <w14:solidFill>
              <w14:schemeClr w14:val="tx1"/>
            </w14:solidFill>
          </w14:textFill>
        </w:rPr>
      </w:pPr>
    </w:p>
    <w:p>
      <w:pPr>
        <w:pStyle w:val="6"/>
        <w:spacing w:before="0" w:after="0" w:line="580" w:lineRule="exact"/>
        <w:jc w:val="center"/>
        <w:rPr>
          <w:rFonts w:eastAsia="方正黑体_GBK"/>
          <w:b w:val="0"/>
          <w:color w:val="000000" w:themeColor="text1"/>
          <w:sz w:val="32"/>
          <w:szCs w:val="32"/>
          <w14:textFill>
            <w14:solidFill>
              <w14:schemeClr w14:val="tx1"/>
            </w14:solidFill>
          </w14:textFill>
        </w:rPr>
      </w:pPr>
      <w:bookmarkStart w:id="6" w:name="_Toc29221"/>
      <w:bookmarkStart w:id="7" w:name="_Toc75019403"/>
      <w:r>
        <w:rPr>
          <w:rFonts w:hint="eastAsia" w:eastAsia="方正黑体_GBK"/>
          <w:b w:val="0"/>
          <w:color w:val="000000" w:themeColor="text1"/>
          <w:sz w:val="32"/>
          <w:szCs w:val="32"/>
          <w14:textFill>
            <w14:solidFill>
              <w14:schemeClr w14:val="tx1"/>
            </w14:solidFill>
          </w14:textFill>
        </w:rPr>
        <w:t>第二章</w:t>
      </w:r>
      <w:r>
        <w:rPr>
          <w:rFonts w:eastAsia="方正黑体_GBK"/>
          <w:b w:val="0"/>
          <w:color w:val="000000" w:themeColor="text1"/>
          <w:sz w:val="32"/>
          <w:szCs w:val="32"/>
          <w14:textFill>
            <w14:solidFill>
              <w14:schemeClr w14:val="tx1"/>
            </w14:solidFill>
          </w14:textFill>
        </w:rPr>
        <w:t xml:space="preserve">  </w:t>
      </w:r>
      <w:r>
        <w:rPr>
          <w:rFonts w:hint="eastAsia" w:eastAsia="方正黑体_GBK"/>
          <w:b w:val="0"/>
          <w:color w:val="000000" w:themeColor="text1"/>
          <w:sz w:val="32"/>
          <w:szCs w:val="32"/>
          <w14:textFill>
            <w14:solidFill>
              <w14:schemeClr w14:val="tx1"/>
            </w14:solidFill>
          </w14:textFill>
        </w:rPr>
        <w:t>“十四五”形势分析</w:t>
      </w:r>
      <w:bookmarkEnd w:id="6"/>
      <w:bookmarkEnd w:id="7"/>
    </w:p>
    <w:p>
      <w:pPr>
        <w:spacing w:line="580" w:lineRule="exact"/>
        <w:rPr>
          <w:rFonts w:eastAsia="方正黑体_GBK"/>
          <w:b/>
          <w:color w:val="000000" w:themeColor="text1"/>
          <w:sz w:val="32"/>
          <w:szCs w:val="32"/>
          <w14:textFill>
            <w14:solidFill>
              <w14:schemeClr w14:val="tx1"/>
            </w14:solidFill>
          </w14:textFill>
        </w:rPr>
      </w:pP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十四五”时期是我国全面建成小康社会、实现第一个百年奋斗目标之后，乘势而上开启全面建设社会主义现代化国家新征程、向第二个百年奋斗目标进军的第一个五年，我国将进入新发展阶段。宿迁也进入了巩固全面小康社会成果、开启基本现代化建设新征程的新阶段，经济社会发展处于大有可为的重要战略机遇期，但同时面临挑战的复杂性、不确定性和严峻性比以往任何时期都要突出。</w:t>
      </w:r>
    </w:p>
    <w:p>
      <w:pPr>
        <w:spacing w:line="580" w:lineRule="exact"/>
        <w:ind w:firstLine="640" w:firstLineChars="200"/>
        <w:rPr>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8" w:name="_Toc75019404"/>
      <w:bookmarkStart w:id="9" w:name="_Toc29653"/>
      <w:r>
        <w:rPr>
          <w:rFonts w:hint="eastAsia" w:ascii="Times New Roman" w:hAnsi="Times New Roman" w:eastAsia="方正楷体_GBK"/>
          <w:b w:val="0"/>
          <w:color w:val="000000" w:themeColor="text1"/>
          <w14:textFill>
            <w14:solidFill>
              <w14:schemeClr w14:val="tx1"/>
            </w14:solidFill>
          </w14:textFill>
        </w:rPr>
        <w:t>第一节  发展机遇</w:t>
      </w:r>
      <w:bookmarkEnd w:id="8"/>
      <w:bookmarkEnd w:id="9"/>
    </w:p>
    <w:p>
      <w:pPr>
        <w:spacing w:line="580" w:lineRule="exact"/>
        <w:rPr>
          <w:rFonts w:eastAsia="方正楷体_GBK"/>
          <w:b/>
          <w:color w:val="000000" w:themeColor="text1"/>
          <w:sz w:val="32"/>
          <w:szCs w:val="32"/>
          <w14:textFill>
            <w14:solidFill>
              <w14:schemeClr w14:val="tx1"/>
            </w14:solidFill>
          </w14:textFill>
        </w:rPr>
      </w:pP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一、“双循环”新发展格局的加快构建，为生成适配国内需求的高质量供给和实现高水平的开放发展提供了机遇</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加快构建以国内大循环为主体、国内国际双循环相互促进的新发展格局，是当前和未来较长时期我国经济发展的战略基点和底层逻辑，坚持扩大内需，畅通国内大循环，形成国内强大市场，提供的市场机会将更加广阔。在国内大循环方面，消费升级下国内高端需求日益增多，经济增长的内需潜力不断释放，为产业高质量提供了更为广阔的市场空间。这为我市纺织服装、电子信息等外贸依存度较大产业，未来推动企业生产、分配、流通、消费更多依托国内市场，提升供给体系对国内需求的适配性，实现产业高端化发展提供了重要机遇。在国际循环方面，我国持续扩大高水平开放，多项区域多边协定加快推进，未来将与日本、韩国、东南亚国家、一带一路沿线国家迎来更多更深入的国际合作。这有利于我市持续扩大高水平开放，稳定外商在中国长期发展的信心，高质量建设双循环平台载体，为我市工业经济做大总量、做优存量、做强增量提供了更多发展机遇，为全市实现更高水平开放发展提供有力支撑。</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二、新一轮技术革命蓬勃兴起，为更高层次提升产业发展水平、培育发展新动能提供了机遇</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十四五”时期，人工智能、大数据、量子信息、生物技术等新一轮科技革命和产业变革正在积聚力量，将会催生大量新产业、新业态、新模式，呈现出要素重组、互相渗透、边界消融、加乘借力等新特点，将带来巨大的生产方式变革和商业模式变革，促进国内外产业体系的重构。这为我市转变经济发展方式、优化经济结构、转换增长动力，实现“换道超车”提供新机遇。</w:t>
      </w:r>
      <w:r>
        <w:rPr>
          <w:rFonts w:hint="eastAsia"/>
          <w:b/>
          <w:color w:val="000000" w:themeColor="text1"/>
          <w:sz w:val="32"/>
          <w:szCs w:val="32"/>
          <w14:textFill>
            <w14:solidFill>
              <w14:schemeClr w14:val="tx1"/>
            </w14:solidFill>
          </w14:textFill>
        </w:rPr>
        <w:t>一方面</w:t>
      </w:r>
      <w:r>
        <w:rPr>
          <w:rFonts w:hint="eastAsia"/>
          <w:color w:val="000000" w:themeColor="text1"/>
          <w:sz w:val="32"/>
          <w:szCs w:val="32"/>
          <w14:textFill>
            <w14:solidFill>
              <w14:schemeClr w14:val="tx1"/>
            </w14:solidFill>
          </w14:textFill>
        </w:rPr>
        <w:t>，新科技推动产业结构转型升级。新科技革命带来的产业变革将改造传统生产模式和服务业态，推动传统生产方式和商业模式变革，促进工业和服务业融合发展。</w:t>
      </w:r>
      <w:r>
        <w:rPr>
          <w:rFonts w:hint="eastAsia"/>
          <w:b/>
          <w:color w:val="000000" w:themeColor="text1"/>
          <w:sz w:val="32"/>
          <w:szCs w:val="32"/>
          <w14:textFill>
            <w14:solidFill>
              <w14:schemeClr w14:val="tx1"/>
            </w14:solidFill>
          </w14:textFill>
        </w:rPr>
        <w:t>另一方面</w:t>
      </w:r>
      <w:r>
        <w:rPr>
          <w:rFonts w:hint="eastAsia"/>
          <w:color w:val="000000" w:themeColor="text1"/>
          <w:sz w:val="32"/>
          <w:szCs w:val="32"/>
          <w14:textFill>
            <w14:solidFill>
              <w14:schemeClr w14:val="tx1"/>
            </w14:solidFill>
          </w14:textFill>
        </w:rPr>
        <w:t>，新科技催生新产业经济增长动能。新技术及其广泛应用将促进生产效率提高，直接提升产业经济增长率，而新技术的产业化和商业化则将打造出新业务领域和新主导产业，催生产业经济新增长点。</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三、国家和省重大战略和政策叠加融合，为全方位拓展产业发展空间提供了机遇</w:t>
      </w:r>
    </w:p>
    <w:p>
      <w:pPr>
        <w:spacing w:line="580" w:lineRule="exact"/>
        <w:ind w:firstLine="64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近年来，随着“一带一路”、长江经济带、长三角区域一体化等国家战略和“新基建”建设，以及“科技强省、</w:t>
      </w:r>
      <w:r>
        <w:rPr>
          <w:color w:val="000000" w:themeColor="text1"/>
          <w:sz w:val="32"/>
          <w:szCs w:val="32"/>
          <w14:textFill>
            <w14:solidFill>
              <w14:schemeClr w14:val="tx1"/>
            </w14:solidFill>
          </w14:textFill>
        </w:rPr>
        <w:t>制造</w:t>
      </w:r>
      <w:r>
        <w:rPr>
          <w:rFonts w:hint="eastAsia"/>
          <w:color w:val="000000" w:themeColor="text1"/>
          <w:sz w:val="32"/>
          <w:szCs w:val="32"/>
          <w14:textFill>
            <w14:solidFill>
              <w14:schemeClr w14:val="tx1"/>
            </w14:solidFill>
          </w14:textFill>
        </w:rPr>
        <w:t>强省、开放强省”、淮河生态经济带、“</w:t>
      </w:r>
      <w:r>
        <w:rPr>
          <w:color w:val="000000" w:themeColor="text1"/>
          <w:sz w:val="32"/>
          <w:szCs w:val="32"/>
          <w14:textFill>
            <w14:solidFill>
              <w14:schemeClr w14:val="tx1"/>
            </w14:solidFill>
          </w14:textFill>
        </w:rPr>
        <w:t>13+1</w:t>
      </w:r>
      <w:r>
        <w:rPr>
          <w:rFonts w:hint="eastAsia"/>
          <w:color w:val="000000" w:themeColor="text1"/>
          <w:sz w:val="32"/>
          <w:szCs w:val="32"/>
          <w14:textFill>
            <w14:solidFill>
              <w14:schemeClr w14:val="tx1"/>
            </w14:solidFill>
          </w14:textFill>
        </w:rPr>
        <w:t>”先进制造业集群布局、“四化”同步集成改革示范区等省、市重要战略的深入推进，重大战略和政策在宿迁叠加融合。一方面，有利于政策资源向宿迁汇聚，助力宿迁深化与区域内城市互动互联，打通现代产业转移升级、创新资源共建共享、基础与公共设施均等配套、优势政策示范试点等优质资源要素区域传递的“断点”“堵点”，支撑宿迁加速扭转江苏“经济洼地”困境。另一方面，更有利于我市</w:t>
      </w:r>
      <w:r>
        <w:rPr>
          <w:color w:val="000000" w:themeColor="text1"/>
          <w:sz w:val="32"/>
          <w:szCs w:val="32"/>
          <w14:textFill>
            <w14:solidFill>
              <w14:schemeClr w14:val="tx1"/>
            </w14:solidFill>
          </w14:textFill>
        </w:rPr>
        <w:t>在更大区域范围内集聚创新发展资源、</w:t>
      </w:r>
      <w:r>
        <w:rPr>
          <w:rFonts w:hint="eastAsia"/>
          <w:color w:val="000000" w:themeColor="text1"/>
          <w:sz w:val="32"/>
          <w:szCs w:val="32"/>
          <w14:textFill>
            <w14:solidFill>
              <w14:schemeClr w14:val="tx1"/>
            </w14:solidFill>
          </w14:textFill>
        </w:rPr>
        <w:t>促进</w:t>
      </w:r>
      <w:r>
        <w:rPr>
          <w:rFonts w:hint="eastAsia"/>
          <w:bCs/>
          <w:color w:val="000000" w:themeColor="text1"/>
          <w:sz w:val="32"/>
          <w:szCs w:val="32"/>
          <w14:textFill>
            <w14:solidFill>
              <w14:schemeClr w14:val="tx1"/>
            </w14:solidFill>
          </w14:textFill>
        </w:rPr>
        <w:t>优质要素流动、</w:t>
      </w:r>
      <w:r>
        <w:rPr>
          <w:color w:val="000000" w:themeColor="text1"/>
          <w:sz w:val="32"/>
          <w:szCs w:val="32"/>
          <w14:textFill>
            <w14:solidFill>
              <w14:schemeClr w14:val="tx1"/>
            </w14:solidFill>
          </w14:textFill>
        </w:rPr>
        <w:t>推动产业对接升级</w:t>
      </w:r>
      <w:r>
        <w:rPr>
          <w:rFonts w:hint="eastAsia"/>
          <w:color w:val="000000" w:themeColor="text1"/>
          <w:sz w:val="32"/>
          <w:szCs w:val="32"/>
          <w14:textFill>
            <w14:solidFill>
              <w14:schemeClr w14:val="tx1"/>
            </w14:solidFill>
          </w14:textFill>
        </w:rPr>
        <w:t>，为我市促进经济、工业、主导产业高质量发展带来了前所未有的良好机遇和广阔空间。</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四、宿迁产业基础和发展环境的提升改善，为实现更高水平赶超跨越发展提供了机遇</w:t>
      </w:r>
    </w:p>
    <w:p>
      <w:pPr>
        <w:spacing w:line="580" w:lineRule="exact"/>
        <w:ind w:firstLine="640"/>
        <w:rPr>
          <w:bCs/>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近年来，</w:t>
      </w:r>
      <w:r>
        <w:rPr>
          <w:color w:val="000000" w:themeColor="text1"/>
          <w:kern w:val="0"/>
          <w:sz w:val="32"/>
          <w:szCs w:val="32"/>
          <w14:textFill>
            <w14:solidFill>
              <w14:schemeClr w14:val="tx1"/>
            </w14:solidFill>
          </w14:textFill>
        </w:rPr>
        <w:t>市委市政府始终突出工业的主导地位，不断优化政策供给体系，持续改善营商环境，致力助企惠企，着力深化重点领域改革，开办企业等指标位列全省第一，工业用地成本、工商业用水用电和天然气价格均为全省最低。</w:t>
      </w:r>
      <w:r>
        <w:rPr>
          <w:color w:val="000000" w:themeColor="text1"/>
          <w:sz w:val="32"/>
          <w:szCs w:val="32"/>
          <w14:textFill>
            <w14:solidFill>
              <w14:schemeClr w14:val="tx1"/>
            </w14:solidFill>
          </w14:textFill>
        </w:rPr>
        <w:t>始终坚持</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项目为王</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理念，全力以赴招引大项目，一批百亿级、50亿级重大项目落地建设，产业逐步向高端化、集群化迈进。在光伏新能源、高端纺织、膜材料等领域已形成集聚之势。</w:t>
      </w:r>
      <w:r>
        <w:rPr>
          <w:rFonts w:hint="eastAsia"/>
          <w:color w:val="000000" w:themeColor="text1"/>
          <w:sz w:val="32"/>
          <w:szCs w:val="32"/>
          <w14:textFill>
            <w14:solidFill>
              <w14:schemeClr w14:val="tx1"/>
            </w14:solidFill>
          </w14:textFill>
        </w:rPr>
        <w:t>“十三五”期间，徐宿淮盐高铁、运河中心港等一批重大基础设施建成运营，以及“十四五”期间宿连运河、合宿新高铁等一批项目建设，将为产业发展创造更加优越的环境。</w:t>
      </w: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10" w:name="_Toc75019405"/>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11" w:name="_Toc1693"/>
      <w:r>
        <w:rPr>
          <w:rFonts w:hint="eastAsia" w:ascii="Times New Roman" w:hAnsi="Times New Roman" w:eastAsia="方正楷体_GBK"/>
          <w:b w:val="0"/>
          <w:color w:val="000000" w:themeColor="text1"/>
          <w14:textFill>
            <w14:solidFill>
              <w14:schemeClr w14:val="tx1"/>
            </w14:solidFill>
          </w14:textFill>
        </w:rPr>
        <w:t>第二节  面临挑战</w:t>
      </w:r>
      <w:bookmarkEnd w:id="10"/>
      <w:bookmarkEnd w:id="11"/>
    </w:p>
    <w:p>
      <w:pPr>
        <w:spacing w:line="580" w:lineRule="exact"/>
        <w:rPr>
          <w:rFonts w:eastAsia="方正楷体_GBK"/>
          <w:b/>
          <w:color w:val="000000" w:themeColor="text1"/>
          <w:sz w:val="32"/>
          <w:szCs w:val="32"/>
          <w14:textFill>
            <w14:solidFill>
              <w14:schemeClr w14:val="tx1"/>
            </w14:solidFill>
          </w14:textFill>
        </w:rPr>
      </w:pP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一、外部环境变化的复杂性对宿迁工业发展带来了新挑战</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十四五”时期，世界进入动荡变革期，外部发展环境整体上将比“十三五”时期更加严峻复杂，国际产业分工格局发生重大调整，贸易保护主义抬头，新冠肺炎疫情影响广泛深远，经济全球化遭遇逆流，全球产业链供应链安全风险加大。当前，我国制造业面临发达国家和发展中国家的“双向竞争”。发达国家纷纷推动“再工业化”，保持在高科技领域的领先地位，积极推动产业链供应链本土化、多元化布局；新兴经济体利用要素低成本优势，吸引劳动密集型产业和低附加值环节转移，加快工业化进程。“十四五”时期，做大工业总量仍是我市的重要任务，而深度参与国际分工、招引外资外智、发展外向型经济仍是我市推动工业发展的重要抓手。但在全球经济复苏前景不明朗，国际贸易和投资活动继续萎缩的大背景下，我市纺织、机电、光伏等偏外向型的产业将承受更大经济下行压力和不确定性，新一代信息技术、生物医药等对外技术依赖较高的新兴产业培育难度将加大，实体经济特别是一些中小企业经营将面临更大挑战。</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二、区域一体化背景下地区间新一轮竞争将更趋激烈</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当前，长三角一体化向纵深推进，长江经济带建设蓬勃展开，区域内要素流动更加迅速。国内地区间发展竞争的焦点正加速转向创新领域，区域竞合格局正在深度调整，城市间新一轮竞争日益激烈。近年来，我市及周边地区都相继出台了一系列政策和措施，争夺优质人才，完善营商环境，吸引高质产业项目，抢占布局产业制高点，形成了“你追我赶”的竞争态势。可以说，无论是在全省大局中的战略定位，还是政策机遇、区位优势等方面，宿迁均无特别显著的优势，面临周边城市在资源、要素、人才等诸多方面挤压。与此同时，自2001年以来，我市将承接南北产业转移作为推动产业升级的重要手段，实现了社会经济的大跨步发展。但作为产业转移的目的地，我市与中西部后发城市相比，资源要素优势、区位优势不够突出，高端创新资源、产业生态优势不够明显，未来在承接产业转移项目方面可能面临来自中西部地区更多的挑战。</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三、新一轮科技革命下产业竞争关键要素的转变给产业发展带来了更大压力</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随着以数字化技术、新能源技术、新材料技术、生物技术等颠覆性技术为代表的新一轮科技革命发展，制造业技术体系、生产模式和价值链发生系统性再造，将产生两方面的深远影响：</w:t>
      </w:r>
      <w:r>
        <w:rPr>
          <w:rFonts w:hint="eastAsia"/>
          <w:b/>
          <w:color w:val="000000" w:themeColor="text1"/>
          <w:sz w:val="32"/>
          <w:szCs w:val="32"/>
          <w14:textFill>
            <w14:solidFill>
              <w14:schemeClr w14:val="tx1"/>
            </w14:solidFill>
          </w14:textFill>
        </w:rPr>
        <w:t>一方面，</w:t>
      </w:r>
      <w:r>
        <w:rPr>
          <w:rFonts w:hint="eastAsia"/>
          <w:color w:val="000000" w:themeColor="text1"/>
          <w:sz w:val="32"/>
          <w:szCs w:val="32"/>
          <w14:textFill>
            <w14:solidFill>
              <w14:schemeClr w14:val="tx1"/>
            </w14:solidFill>
          </w14:textFill>
        </w:rPr>
        <w:t>相较于土地、人工等传统生产要素，知识、技术、数据等新型生产要素在当今的产业竞争中变得越来越重要，将迎来全球范围内的激烈争夺。而我市创新研发投入偏小，创新主体偏少，支撑产业创新的重大功能平台、成果转化平台和新型研发机构建设层次相对较低，新型数字基础设施建设滞后，集聚新型生产要素的能力偏弱。</w:t>
      </w:r>
      <w:r>
        <w:rPr>
          <w:rFonts w:hint="eastAsia"/>
          <w:b/>
          <w:color w:val="000000" w:themeColor="text1"/>
          <w:sz w:val="32"/>
          <w:szCs w:val="32"/>
          <w14:textFill>
            <w14:solidFill>
              <w14:schemeClr w14:val="tx1"/>
            </w14:solidFill>
          </w14:textFill>
        </w:rPr>
        <w:t>另一方面，</w:t>
      </w:r>
      <w:r>
        <w:rPr>
          <w:rFonts w:hint="eastAsia"/>
          <w:color w:val="000000" w:themeColor="text1"/>
          <w:sz w:val="32"/>
          <w:szCs w:val="32"/>
          <w14:textFill>
            <w14:solidFill>
              <w14:schemeClr w14:val="tx1"/>
            </w14:solidFill>
          </w14:textFill>
        </w:rPr>
        <w:t>传统加工制造环节在产业链上的重要性和附加值逐步降低，制约着传统加工业的发展后劲。而我市产业结构总体偏传统，新兴领域企业多处于中低端加工制造环节，高精尖产品制造和研发设计、品牌运营等高附加值环节企业偏少，在新一轮科技革命发展大势下，亟需推动规模总量上台阶的同时，不断优化产业结构、培育新兴产业和提高产业层次，面临的发展压力将更大。</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四、碳达峰碳中和、环境保护和安全生产对工业发展提出越来越高的要求</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近年来，随着国家、省、市一系列安全环保政策的深入实施，对工业在节能排放、清退落后产能、资源集约利用等方面提出了越来越高的要求。特别是国家“碳达峰碳中和”要求的提出，我市将面临着减排降碳的巨大压力。目前我市现阶段产业结构仍偏重于传统，尤其是机电装备、食品饮料等产业占比较大且绿色化、高端化发展步伐还不够快，能耗和污染问题仍需重点关注。“十四五”期间，按照国家生态文明建设的相关部署，我国将进一步推动“2035年基本建成美丽中国”的目标实现，未来环保法律将更加系统完备、环保标准将有序提高、环保监管将更加全面严格、安全生产制度将更加健全，届时对我市产业发展和新上项目将提出更高的标准和要求，产业提质增效、提档转型的压力与紧迫性进一步加大。</w:t>
      </w:r>
    </w:p>
    <w:p>
      <w:pPr>
        <w:widowControl/>
        <w:spacing w:line="580" w:lineRule="exact"/>
        <w:jc w:val="left"/>
        <w:rPr>
          <w:rFonts w:eastAsia="宋体"/>
          <w:b/>
          <w:bCs/>
          <w:color w:val="000000" w:themeColor="text1"/>
          <w:sz w:val="33"/>
          <w:szCs w:val="33"/>
          <w14:textFill>
            <w14:solidFill>
              <w14:schemeClr w14:val="tx1"/>
            </w14:solidFill>
          </w14:textFill>
        </w:rPr>
      </w:pPr>
      <w:r>
        <w:rPr>
          <w:color w:val="000000" w:themeColor="text1"/>
          <w14:textFill>
            <w14:solidFill>
              <w14:schemeClr w14:val="tx1"/>
            </w14:solidFill>
          </w14:textFill>
        </w:rPr>
        <w:br w:type="page"/>
      </w:r>
    </w:p>
    <w:p>
      <w:pPr>
        <w:pStyle w:val="2"/>
        <w:spacing w:line="580" w:lineRule="exact"/>
        <w:ind w:firstLine="331"/>
        <w:rPr>
          <w:rFonts w:ascii="Times New Roman" w:hAnsi="Times New Roman"/>
          <w:color w:val="000000" w:themeColor="text1"/>
          <w:lang w:val="en-US" w:bidi="ar-SA"/>
          <w14:textFill>
            <w14:solidFill>
              <w14:schemeClr w14:val="tx1"/>
            </w14:solidFill>
          </w14:textFill>
        </w:rPr>
      </w:pPr>
    </w:p>
    <w:p>
      <w:pPr>
        <w:pStyle w:val="6"/>
        <w:spacing w:before="0" w:after="0" w:line="580" w:lineRule="exact"/>
        <w:jc w:val="center"/>
        <w:rPr>
          <w:rFonts w:eastAsia="方正黑体_GBK"/>
          <w:b w:val="0"/>
          <w:color w:val="000000" w:themeColor="text1"/>
          <w:sz w:val="32"/>
          <w:szCs w:val="32"/>
          <w14:textFill>
            <w14:solidFill>
              <w14:schemeClr w14:val="tx1"/>
            </w14:solidFill>
          </w14:textFill>
        </w:rPr>
      </w:pPr>
      <w:bookmarkStart w:id="12" w:name="_Toc26987"/>
      <w:bookmarkStart w:id="13" w:name="_Toc75019406"/>
      <w:r>
        <w:rPr>
          <w:rFonts w:hint="eastAsia" w:eastAsia="方正黑体_GBK"/>
          <w:b w:val="0"/>
          <w:color w:val="000000" w:themeColor="text1"/>
          <w:sz w:val="32"/>
          <w:szCs w:val="32"/>
          <w14:textFill>
            <w14:solidFill>
              <w14:schemeClr w14:val="tx1"/>
            </w14:solidFill>
          </w14:textFill>
        </w:rPr>
        <w:t>第三章  总体要求</w:t>
      </w:r>
      <w:bookmarkEnd w:id="12"/>
      <w:bookmarkEnd w:id="13"/>
    </w:p>
    <w:p>
      <w:pPr>
        <w:spacing w:line="580" w:lineRule="exact"/>
        <w:rPr>
          <w:rFonts w:eastAsia="方正黑体_GBK"/>
          <w:b/>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14" w:name="_Toc75019407"/>
      <w:bookmarkStart w:id="15" w:name="_Toc1921"/>
      <w:r>
        <w:rPr>
          <w:rFonts w:hint="eastAsia" w:ascii="Times New Roman" w:hAnsi="Times New Roman" w:eastAsia="方正楷体_GBK"/>
          <w:b w:val="0"/>
          <w:color w:val="000000" w:themeColor="text1"/>
          <w14:textFill>
            <w14:solidFill>
              <w14:schemeClr w14:val="tx1"/>
            </w14:solidFill>
          </w14:textFill>
        </w:rPr>
        <w:t>第一节  指导思想</w:t>
      </w:r>
      <w:bookmarkEnd w:id="14"/>
      <w:bookmarkEnd w:id="15"/>
    </w:p>
    <w:p>
      <w:pPr>
        <w:spacing w:line="580" w:lineRule="exact"/>
        <w:rPr>
          <w:rFonts w:eastAsia="方正楷体_GBK"/>
          <w:b/>
          <w:color w:val="000000" w:themeColor="text1"/>
          <w:sz w:val="32"/>
          <w:szCs w:val="32"/>
          <w14:textFill>
            <w14:solidFill>
              <w14:schemeClr w14:val="tx1"/>
            </w14:solidFill>
          </w14:textFill>
        </w:rPr>
      </w:pP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十四五”时期，以习近平新时代中国特色社会主义思想为指导，全面贯彻党的十九大和十九届二中、三中、四中、五中全会精神，全面落实习近平总书记视察江苏重要讲话指示精神，立足新发展阶段，贯彻新发展理念，融入新发展格局，以推动高质量发展为主题，以改革创新为根本动力，瞄准</w:t>
      </w:r>
      <w:r>
        <w:rPr>
          <w:color w:val="000000" w:themeColor="text1"/>
          <w:sz w:val="32"/>
          <w:szCs w:val="32"/>
          <w14:textFill>
            <w14:solidFill>
              <w14:schemeClr w14:val="tx1"/>
            </w14:solidFill>
          </w14:textFill>
        </w:rPr>
        <w:t>建设长三角先进制造业基地</w:t>
      </w:r>
      <w:r>
        <w:rPr>
          <w:rFonts w:hint="eastAsia"/>
          <w:color w:val="000000" w:themeColor="text1"/>
          <w:sz w:val="32"/>
          <w:szCs w:val="32"/>
          <w14:textFill>
            <w14:solidFill>
              <w14:schemeClr w14:val="tx1"/>
            </w14:solidFill>
          </w14:textFill>
        </w:rPr>
        <w:t>和“</w:t>
      </w:r>
      <w:r>
        <w:rPr>
          <w:color w:val="000000" w:themeColor="text1"/>
          <w:sz w:val="32"/>
          <w:szCs w:val="32"/>
          <w14:textFill>
            <w14:solidFill>
              <w14:schemeClr w14:val="tx1"/>
            </w14:solidFill>
          </w14:textFill>
        </w:rPr>
        <w:t>四化</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同步集成改革</w:t>
      </w:r>
      <w:r>
        <w:rPr>
          <w:rFonts w:hint="eastAsia"/>
          <w:color w:val="000000" w:themeColor="text1"/>
          <w:sz w:val="32"/>
          <w:szCs w:val="32"/>
          <w14:textFill>
            <w14:solidFill>
              <w14:schemeClr w14:val="tx1"/>
            </w14:solidFill>
          </w14:textFill>
        </w:rPr>
        <w:t>示范区</w:t>
      </w:r>
      <w:r>
        <w:rPr>
          <w:color w:val="000000" w:themeColor="text1"/>
          <w:sz w:val="32"/>
          <w:szCs w:val="32"/>
          <w14:textFill>
            <w14:solidFill>
              <w14:schemeClr w14:val="tx1"/>
            </w14:solidFill>
          </w14:textFill>
        </w:rPr>
        <w:t>定位，</w:t>
      </w:r>
      <w:r>
        <w:rPr>
          <w:rFonts w:hint="eastAsia"/>
          <w:color w:val="000000" w:themeColor="text1"/>
          <w:sz w:val="32"/>
          <w:szCs w:val="32"/>
          <w14:textFill>
            <w14:solidFill>
              <w14:schemeClr w14:val="tx1"/>
            </w14:solidFill>
          </w14:textFill>
        </w:rPr>
        <w:t>重点围绕传统产业高端化和高新技术产业化两大方向</w:t>
      </w:r>
      <w:r>
        <w:rPr>
          <w:color w:val="000000" w:themeColor="text1"/>
          <w:sz w:val="32"/>
          <w:szCs w:val="32"/>
          <w14:textFill>
            <w14:solidFill>
              <w14:schemeClr w14:val="tx1"/>
            </w14:solidFill>
          </w14:textFill>
        </w:rPr>
        <w:t>，聚焦</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6+3+X</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现代产业体系和20条重点产业链，</w:t>
      </w:r>
      <w:r>
        <w:rPr>
          <w:color w:val="000000" w:themeColor="text1"/>
          <w:sz w:val="32"/>
          <w:szCs w:val="32"/>
          <w:shd w:val="clear" w:color="auto" w:fill="FFFFFF"/>
          <w14:textFill>
            <w14:solidFill>
              <w14:schemeClr w14:val="tx1"/>
            </w14:solidFill>
          </w14:textFill>
        </w:rPr>
        <w:t>按照</w:t>
      </w:r>
      <w:r>
        <w:rPr>
          <w:rFonts w:hint="eastAsia"/>
          <w:color w:val="000000" w:themeColor="text1"/>
          <w:sz w:val="32"/>
          <w:szCs w:val="32"/>
          <w:shd w:val="clear" w:color="auto" w:fill="FFFFFF"/>
          <w14:textFill>
            <w14:solidFill>
              <w14:schemeClr w14:val="tx1"/>
            </w14:solidFill>
          </w14:textFill>
        </w:rPr>
        <w:t>“</w:t>
      </w:r>
      <w:r>
        <w:rPr>
          <w:color w:val="000000" w:themeColor="text1"/>
          <w:sz w:val="32"/>
          <w:szCs w:val="32"/>
          <w:shd w:val="clear" w:color="auto" w:fill="FFFFFF"/>
          <w14:textFill>
            <w14:solidFill>
              <w14:schemeClr w14:val="tx1"/>
            </w14:solidFill>
          </w14:textFill>
        </w:rPr>
        <w:t>千亿领航、百亿壮大、十亿升级、小微成长</w:t>
      </w:r>
      <w:r>
        <w:rPr>
          <w:rFonts w:hint="eastAsia"/>
          <w:color w:val="000000" w:themeColor="text1"/>
          <w:sz w:val="32"/>
          <w:szCs w:val="32"/>
          <w:shd w:val="clear" w:color="auto" w:fill="FFFFFF"/>
          <w14:textFill>
            <w14:solidFill>
              <w14:schemeClr w14:val="tx1"/>
            </w14:solidFill>
          </w14:textFill>
        </w:rPr>
        <w:t>”</w:t>
      </w:r>
      <w:r>
        <w:rPr>
          <w:color w:val="000000" w:themeColor="text1"/>
          <w:sz w:val="32"/>
          <w:szCs w:val="32"/>
          <w:shd w:val="clear" w:color="auto" w:fill="FFFFFF"/>
          <w14:textFill>
            <w14:solidFill>
              <w14:schemeClr w14:val="tx1"/>
            </w14:solidFill>
          </w14:textFill>
        </w:rPr>
        <w:t>思路，</w:t>
      </w:r>
      <w:r>
        <w:rPr>
          <w:color w:val="000000" w:themeColor="text1"/>
          <w:sz w:val="32"/>
          <w:szCs w:val="32"/>
          <w14:textFill>
            <w14:solidFill>
              <w14:schemeClr w14:val="tx1"/>
            </w14:solidFill>
          </w14:textFill>
        </w:rPr>
        <w:t>以</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壮大总量、升级存量、提升质量</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为目标</w:t>
      </w:r>
      <w:r>
        <w:rPr>
          <w:rFonts w:hint="eastAsia"/>
          <w:color w:val="000000" w:themeColor="text1"/>
          <w:sz w:val="32"/>
          <w:szCs w:val="32"/>
          <w14:textFill>
            <w14:solidFill>
              <w14:schemeClr w14:val="tx1"/>
            </w14:solidFill>
          </w14:textFill>
        </w:rPr>
        <w:t>，加快打造地标产业和优势企业，推动工业经济向集群化、高端化、特色化、绿色化、智能化并进，实现工业化由中前期向中后期过渡，为全市加快构建现代产业体系、实现经济社会高质量发展提供强有力支撑。</w:t>
      </w:r>
    </w:p>
    <w:p>
      <w:pPr>
        <w:spacing w:line="580" w:lineRule="exact"/>
        <w:ind w:firstLine="640" w:firstLineChars="200"/>
        <w:rPr>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16" w:name="_Toc75019408"/>
      <w:bookmarkStart w:id="17" w:name="_Toc20975"/>
      <w:r>
        <w:rPr>
          <w:rFonts w:hint="eastAsia" w:ascii="Times New Roman" w:hAnsi="Times New Roman" w:eastAsia="方正楷体_GBK"/>
          <w:b w:val="0"/>
          <w:color w:val="000000" w:themeColor="text1"/>
          <w14:textFill>
            <w14:solidFill>
              <w14:schemeClr w14:val="tx1"/>
            </w14:solidFill>
          </w14:textFill>
        </w:rPr>
        <w:t>第二节  发展原则</w:t>
      </w:r>
      <w:bookmarkEnd w:id="16"/>
      <w:bookmarkEnd w:id="17"/>
    </w:p>
    <w:p>
      <w:pPr>
        <w:spacing w:line="580" w:lineRule="exact"/>
        <w:rPr>
          <w:rFonts w:eastAsia="方正楷体_GBK"/>
          <w:b/>
          <w:color w:val="000000" w:themeColor="text1"/>
          <w:sz w:val="32"/>
          <w:szCs w:val="32"/>
          <w14:textFill>
            <w14:solidFill>
              <w14:schemeClr w14:val="tx1"/>
            </w14:solidFill>
          </w14:textFill>
        </w:rPr>
      </w:pP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一、坚持创新发展原则</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将创新作为推动工业经济高质量发展的基点，聚集创新资源、扩大创新投入、打造创新平台、营造创新生态，注重以探索性思路、创新性实践突破传统路径依赖，推进以思维创新、产业创新、科技创新、模式创新、体制创新等为重点的集成创新，扬长补短、以特取胜，形成特色鲜明、优势突出的创新体系和产业体系，为工业经济高质量发展持续提供强劲动能。</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二、坚持绿色发展原则</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以实现碳达峰、碳中和为目标，把发展绿色低碳新型工业作为重中之重，优化产业结构，加快退出落后产能，大力发展战略性新兴产业，加快传统产业绿色低碳改造，</w:t>
      </w:r>
      <w:r>
        <w:rPr>
          <w:color w:val="000000" w:themeColor="text1"/>
          <w:sz w:val="32"/>
          <w:szCs w:val="32"/>
          <w14:textFill>
            <w14:solidFill>
              <w14:schemeClr w14:val="tx1"/>
            </w14:solidFill>
          </w14:textFill>
        </w:rPr>
        <w:t>严控</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两高</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行业新增产能</w:t>
      </w:r>
      <w:r>
        <w:rPr>
          <w:rFonts w:hint="eastAsia"/>
          <w:color w:val="000000" w:themeColor="text1"/>
          <w:sz w:val="32"/>
          <w:szCs w:val="32"/>
          <w14:textFill>
            <w14:solidFill>
              <w14:schemeClr w14:val="tx1"/>
            </w14:solidFill>
          </w14:textFill>
        </w:rPr>
        <w:t>，严格落实能耗双控各项举措</w:t>
      </w:r>
      <w:r>
        <w:rPr>
          <w:color w:val="000000" w:themeColor="text1"/>
          <w:sz w:val="32"/>
          <w:szCs w:val="32"/>
          <w14:textFill>
            <w14:solidFill>
              <w14:schemeClr w14:val="tx1"/>
            </w14:solidFill>
          </w14:textFill>
        </w:rPr>
        <w:t>，深化工业企业资源集约评价应用，</w:t>
      </w:r>
      <w:r>
        <w:rPr>
          <w:rFonts w:hint="eastAsia"/>
          <w:color w:val="000000" w:themeColor="text1"/>
          <w:sz w:val="32"/>
          <w:szCs w:val="32"/>
          <w14:textFill>
            <w14:solidFill>
              <w14:schemeClr w14:val="tx1"/>
            </w14:solidFill>
          </w14:textFill>
        </w:rPr>
        <w:t>持续</w:t>
      </w:r>
      <w:r>
        <w:rPr>
          <w:color w:val="000000" w:themeColor="text1"/>
          <w:sz w:val="32"/>
          <w:szCs w:val="32"/>
          <w14:textFill>
            <w14:solidFill>
              <w14:schemeClr w14:val="tx1"/>
            </w14:solidFill>
          </w14:textFill>
        </w:rPr>
        <w:t>推进企业节能化改造、清洁化生产、循环化利用</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推动工业绿色发展整体水平提升，让绿色成为高质量发展的底色。</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三、坚持融合发展原则</w:t>
      </w:r>
    </w:p>
    <w:p>
      <w:pPr>
        <w:ind w:firstLine="640" w:firstLineChars="200"/>
      </w:pPr>
      <w:r>
        <w:rPr>
          <w:rFonts w:hint="eastAsia"/>
          <w:color w:val="000000" w:themeColor="text1"/>
          <w:sz w:val="32"/>
          <w:szCs w:val="32"/>
          <w14:textFill>
            <w14:solidFill>
              <w14:schemeClr w14:val="tx1"/>
            </w14:solidFill>
          </w14:textFill>
        </w:rPr>
        <w:t>将推动新型工业化与信息化融合、先进制造业与现代服务业融合作为加速全市新型工业化进程的重要抓手，积极引进5G、工业互联网等新一代信息技术和产业数字化新标准，加快企业数字化转型，大力发展生产性服务业，推广普及服务型制造新业态新模式，为工业经济高质量发展注入新动能。</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四、坚持协调发展原则</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以集群集聚发展为导向，深化资源要素合理配置，优化区域产业布局，推动各县区、园区的错位化发展和差异化竞争；打造技术共享、特色鲜明、配套完善的区域分工合作体系，协同培育优势特色产业集群，形成按产业链纵向分工和相关配套产业横向聚集的特色产业集聚区，提高全市产业整体效益和竞争力。</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五、坚持开放发展原则</w:t>
      </w:r>
    </w:p>
    <w:p>
      <w:pPr>
        <w:spacing w:line="580" w:lineRule="exact"/>
        <w:ind w:firstLine="640" w:firstLineChars="200"/>
      </w:pPr>
      <w:r>
        <w:rPr>
          <w:rFonts w:hint="eastAsia"/>
          <w:color w:val="000000" w:themeColor="text1"/>
          <w:sz w:val="32"/>
          <w:szCs w:val="32"/>
          <w14:textFill>
            <w14:solidFill>
              <w14:schemeClr w14:val="tx1"/>
            </w14:solidFill>
          </w14:textFill>
        </w:rPr>
        <w:t>主动参与长三角区域一体化、长江经济带建设，积极响应国家“一带一路”倡议，以对内对外开放并举、引进来走出去并举的策略，融入以国内大循环为主体、国内国际双循环相互促进的新发展格局，强化开放合作对工业经济增优势、拓空间的促进作用，深化资源要素开放共享、企业主体开放合作、产业链跨区域联动，助力全市工业经济高质量发展。</w:t>
      </w:r>
    </w:p>
    <w:p>
      <w:pPr>
        <w:spacing w:line="580" w:lineRule="exact"/>
        <w:rPr>
          <w:rFonts w:eastAsia="方正楷体_GBK"/>
          <w:b/>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18" w:name="_Toc75019409"/>
      <w:bookmarkStart w:id="19" w:name="_Toc23560"/>
      <w:r>
        <w:rPr>
          <w:rFonts w:hint="eastAsia" w:ascii="Times New Roman" w:hAnsi="Times New Roman" w:eastAsia="方正楷体_GBK"/>
          <w:b w:val="0"/>
          <w:color w:val="000000" w:themeColor="text1"/>
          <w14:textFill>
            <w14:solidFill>
              <w14:schemeClr w14:val="tx1"/>
            </w14:solidFill>
          </w14:textFill>
        </w:rPr>
        <w:t>第三节  战略定位</w:t>
      </w:r>
      <w:bookmarkEnd w:id="18"/>
      <w:bookmarkEnd w:id="19"/>
    </w:p>
    <w:p>
      <w:pPr>
        <w:spacing w:line="580" w:lineRule="exact"/>
        <w:rPr>
          <w:rFonts w:eastAsia="方正楷体_GBK"/>
          <w:b/>
          <w:color w:val="000000" w:themeColor="text1"/>
          <w:sz w:val="32"/>
          <w:szCs w:val="32"/>
          <w14:textFill>
            <w14:solidFill>
              <w14:schemeClr w14:val="tx1"/>
            </w14:solidFill>
          </w14:textFill>
        </w:rPr>
      </w:pP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十四五”时期，宿迁工业要以供给侧改革为主线，以承接长三角地区产业转移为动力，重点推动经济总量扩大和产业量质并举，加快构建“6+3+X”产业发展新格局，大力提升主导产业能级，适应产业新趋势，加快培育一批先导产业，打造一支对工业经济支撑有力、特色优势突出、相互协同共进的产业梯队，积极创建全国绿色食品、高端纺织、光伏新能源、膜材料等产业地标，持续提升中国酒都、新兴纺都、光伏之都等影响力，向产业链价值链中高端迈出更大步伐，高质量发展达到苏北前列水平，将我市打造成为“长三角先进制造业基地”“四化同步集成改革示范区”。</w:t>
      </w:r>
    </w:p>
    <w:p>
      <w:pPr>
        <w:spacing w:line="580" w:lineRule="exact"/>
        <w:ind w:firstLine="640" w:firstLineChars="200"/>
        <w:rPr>
          <w:color w:val="000000" w:themeColor="text1"/>
          <w:sz w:val="32"/>
          <w:szCs w:val="32"/>
          <w14:textFill>
            <w14:solidFill>
              <w14:schemeClr w14:val="tx1"/>
            </w14:solidFill>
          </w14:textFill>
        </w:rPr>
      </w:pPr>
    </w:p>
    <w:p>
      <w:pPr>
        <w:pStyle w:val="7"/>
        <w:spacing w:before="0" w:after="0" w:line="580" w:lineRule="exact"/>
        <w:jc w:val="center"/>
        <w:rPr>
          <w:rFonts w:eastAsia="方正楷体_GBK"/>
          <w:b w:val="0"/>
          <w:bCs w:val="0"/>
          <w:color w:val="000000" w:themeColor="text1"/>
          <w14:textFill>
            <w14:solidFill>
              <w14:schemeClr w14:val="tx1"/>
            </w14:solidFill>
          </w14:textFill>
        </w:rPr>
      </w:pPr>
      <w:bookmarkStart w:id="20" w:name="_Toc15172"/>
      <w:bookmarkStart w:id="21" w:name="_Toc75019410"/>
      <w:r>
        <w:rPr>
          <w:rFonts w:hint="eastAsia" w:eastAsia="方正楷体_GBK"/>
          <w:b w:val="0"/>
          <w:bCs w:val="0"/>
          <w:color w:val="000000" w:themeColor="text1"/>
          <w14:textFill>
            <w14:solidFill>
              <w14:schemeClr w14:val="tx1"/>
            </w14:solidFill>
          </w14:textFill>
        </w:rPr>
        <w:t>第四节  远景目标</w:t>
      </w:r>
      <w:bookmarkEnd w:id="20"/>
      <w:bookmarkEnd w:id="21"/>
    </w:p>
    <w:p/>
    <w:p>
      <w:pPr>
        <w:spacing w:line="580" w:lineRule="exact"/>
        <w:ind w:firstLine="640" w:firstLineChars="200"/>
        <w:rPr>
          <w:color w:val="000000" w:themeColor="text1"/>
          <w14:textFill>
            <w14:solidFill>
              <w14:schemeClr w14:val="tx1"/>
            </w14:solidFill>
          </w14:textFill>
        </w:rPr>
      </w:pPr>
      <w:r>
        <w:rPr>
          <w:rFonts w:hint="eastAsia"/>
          <w:color w:val="000000" w:themeColor="text1"/>
          <w:sz w:val="32"/>
          <w:szCs w:val="20"/>
          <w14:textFill>
            <w14:solidFill>
              <w14:schemeClr w14:val="tx1"/>
            </w14:solidFill>
          </w14:textFill>
        </w:rPr>
        <w:t>落实党的十九大提出的分两步走全面建成社会主义现代化强国的战略安排，到二○三五年，宿迁工业经济发展的远景目标是：宿迁与全省同步基本实现社会主义现代化，深度参与长三角区域一体化发展，全市制造业综合竞争力大幅提升，在二○二○年基础上制造业全员劳动生产率实现翻一番以上，基本</w:t>
      </w:r>
      <w:r>
        <w:rPr>
          <w:rFonts w:hint="eastAsia"/>
          <w:color w:val="000000" w:themeColor="text1"/>
          <w:sz w:val="32"/>
          <w:szCs w:val="32"/>
          <w14:textFill>
            <w14:solidFill>
              <w14:schemeClr w14:val="tx1"/>
            </w14:solidFill>
          </w14:textFill>
        </w:rPr>
        <w:t>构建起以先进制造业为主体的现代产业体系，重点产业基础能力大幅提升，重点产业链基本达到现代化水平</w:t>
      </w:r>
      <w:r>
        <w:rPr>
          <w:rFonts w:hint="eastAsia" w:cstheme="minorBidi"/>
          <w:color w:val="000000" w:themeColor="text1"/>
          <w:sz w:val="32"/>
          <w:szCs w:val="32"/>
          <w14:textFill>
            <w14:solidFill>
              <w14:schemeClr w14:val="tx1"/>
            </w14:solidFill>
          </w14:textFill>
        </w:rPr>
        <w:t>，信息化、智能化得到全面深化，绿色生产方式得到广泛普及</w:t>
      </w:r>
      <w:r>
        <w:rPr>
          <w:rFonts w:hint="eastAsia"/>
          <w:color w:val="000000" w:themeColor="text1"/>
          <w:sz w:val="32"/>
          <w:szCs w:val="32"/>
          <w14:textFill>
            <w14:solidFill>
              <w14:schemeClr w14:val="tx1"/>
            </w14:solidFill>
          </w14:textFill>
        </w:rPr>
        <w:t>，</w:t>
      </w:r>
      <w:r>
        <w:rPr>
          <w:rFonts w:hint="eastAsia"/>
          <w:color w:val="000000" w:themeColor="text1"/>
          <w:sz w:val="32"/>
          <w:szCs w:val="20"/>
          <w14:textFill>
            <w14:solidFill>
              <w14:schemeClr w14:val="tx1"/>
            </w14:solidFill>
          </w14:textFill>
        </w:rPr>
        <w:t>基本实现新型工业化，工业发展水平和产业创新能力基本达到省内中游以上水平，基本成为具有全国影响力的先进制造业基地。</w:t>
      </w:r>
    </w:p>
    <w:p>
      <w:pPr>
        <w:pStyle w:val="2"/>
        <w:spacing w:line="580" w:lineRule="exact"/>
        <w:ind w:firstLine="331"/>
        <w:rPr>
          <w:rFonts w:ascii="Times New Roman" w:hAnsi="Times New Roman"/>
          <w:color w:val="000000" w:themeColor="text1"/>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22" w:name="_Toc14313"/>
      <w:bookmarkStart w:id="23" w:name="_Toc75019411"/>
      <w:r>
        <w:rPr>
          <w:rFonts w:hint="eastAsia" w:ascii="Times New Roman" w:hAnsi="Times New Roman" w:eastAsia="方正楷体_GBK"/>
          <w:b w:val="0"/>
          <w:color w:val="000000" w:themeColor="text1"/>
          <w14:textFill>
            <w14:solidFill>
              <w14:schemeClr w14:val="tx1"/>
            </w14:solidFill>
          </w14:textFill>
        </w:rPr>
        <w:t>第五节  发展目标</w:t>
      </w:r>
      <w:bookmarkEnd w:id="22"/>
      <w:bookmarkEnd w:id="23"/>
    </w:p>
    <w:p>
      <w:pPr>
        <w:spacing w:line="580" w:lineRule="exact"/>
        <w:rPr>
          <w:rFonts w:eastAsia="方正楷体_GBK"/>
          <w:b/>
          <w:color w:val="000000" w:themeColor="text1"/>
          <w:sz w:val="32"/>
          <w:szCs w:val="32"/>
          <w14:textFill>
            <w14:solidFill>
              <w14:schemeClr w14:val="tx1"/>
            </w14:solidFill>
          </w14:textFill>
        </w:rPr>
      </w:pP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围绕总量突破、动力增强、结构优化、主体壮大、创新驱动、数字转型、绿色发展、平台支撑等八个方面，全市“十四五”时期工业经济高质量发展目标为：</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一、总量突破</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到2025年，全市工业增加值占GDP比重达到45%左右，年均提高2.1个百分点；全市规模以上工业产值突破7000亿元，年均增长20.7%；进出口贸易总额达到60亿美元，年均增长4.6%。</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二、动力增强</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“十四五”时期，全市工业固定资产、技术改造投资年均增幅达到8%、11%以上；实施投资超亿元以上新建项目1800个以上，实施设备投资超1000万元技术改造项目1500个以上，实施省市重大工业投资项目500个以上。</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三、结构优化</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到2025年，全市形成“6+3+X”产业发展新格局并持续放大结构效应，产业结构持续优化，机电装备、光伏新能源、绿色食品、高端纺织四个产业规模超过千亿，绿色家居、新材料产业超过500亿元。新一代信息技术、生物医药、数字经济等先导产业日益壮大，先导产业占全市规模以上工业比重超过10%。化学纤维等20条重点产业链基本成链，打造全国一流的酿造（酒）、化学纤维、晶硅光伏、膜材料4条地标产业链。</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四、主体壮大</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到2025年，全市规模以上工业企业达到2500户，年均净增150户；营业收入超百亿元企业达到13户，其中超过300亿元企业1户，超10亿元企业达到120户，A股上市企业达到15户。培育制造业单项冠军、专精特新小巨人、瞪羚企业、“江苏精品”企业等150户以上。</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五、创新驱动</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到2025年，全市高新技术企业数量达到1000户；市级以上创新载体达到700个以上，其中省级以上企业技术中心等达到150个以上；企业研发经费支出占GDP比重达到2.5%；全市高新技术产业产值占规模以上工业产值达到50%。</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六、数字转型</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到2025年，工业互联网在产业链头部企业的生产、流通和服务领域普遍应用，创新示范应用不断涌现，数字化智能化生态体系建设取得明显成效，全市规上企业星级“上云”率、两化融合贯标率能力成熟度大幅提升。实施数字化改造提升重点项目300个以上，创建市级以上工业互联网标杆工厂70户以上，星级上云企业达到2000户以上，企业两化融合发展水平提高到65，达到苏北中等水平；推进标识解析二级节点建设，接入企业超过150户，标识注册量3亿以上。</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七、绿色发展</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到2025年，全市初步形成较为完善的绿色制造体系，省级以上园区达到绿色园区标准，省级以上绿色工厂、绿色供应链、绿色产品，以及市级以上绿色工厂等数量达到150个以上；万元GDP能耗完成省下达“十四五”下降目标。</w:t>
      </w:r>
      <w:r>
        <w:rPr>
          <w:rFonts w:hint="eastAsia"/>
          <w:color w:val="000000" w:themeColor="text1"/>
          <w:sz w:val="32"/>
          <w:szCs w:val="32"/>
          <w:shd w:val="clear" w:color="auto" w:fill="FFFFFF"/>
          <w14:textFill>
            <w14:solidFill>
              <w14:schemeClr w14:val="tx1"/>
            </w14:solidFill>
          </w14:textFill>
        </w:rPr>
        <w:t>规模以上企业单位工业增加值能耗、用水量均比2020年下降</w:t>
      </w:r>
      <w:r>
        <w:rPr>
          <w:color w:val="000000" w:themeColor="text1"/>
          <w:sz w:val="32"/>
          <w:szCs w:val="32"/>
          <w:shd w:val="clear" w:color="auto" w:fill="FFFFFF"/>
          <w14:textFill>
            <w14:solidFill>
              <w14:schemeClr w14:val="tx1"/>
            </w14:solidFill>
          </w14:textFill>
        </w:rPr>
        <w:t>10</w:t>
      </w:r>
      <w:r>
        <w:rPr>
          <w:rFonts w:hint="eastAsia"/>
          <w:color w:val="000000" w:themeColor="text1"/>
          <w:sz w:val="32"/>
          <w:szCs w:val="32"/>
          <w:shd w:val="clear" w:color="auto" w:fill="FFFFFF"/>
          <w14:textFill>
            <w14:solidFill>
              <w14:schemeClr w14:val="tx1"/>
            </w14:solidFill>
          </w14:textFill>
        </w:rPr>
        <w:t>%以上；一般工业固体废弃物综合利用率保持在90%以上。以重点污染物削减和化石能源清洁高效利用为重点，更大力度地推行清洁生产，通过市级清洁生产审核验收企业100户。</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八、平台支撑</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到2025年，全市三星级以上中小企业公共服务平台、产业集群促进机构、系统解决方案服务商、技术咨询、技术转让等中介机构、产业研究院等各类平台达到100个以上，为工业经济高质量发展提供重要的支撑作用。</w:t>
      </w:r>
    </w:p>
    <w:p>
      <w:pPr>
        <w:spacing w:line="580" w:lineRule="exact"/>
        <w:jc w:val="center"/>
        <w:rPr>
          <w:rFonts w:eastAsia="方正黑体_GBK"/>
          <w:color w:val="000000" w:themeColor="text1"/>
          <w:sz w:val="30"/>
          <w:szCs w:val="30"/>
          <w14:textFill>
            <w14:solidFill>
              <w14:schemeClr w14:val="tx1"/>
            </w14:solidFill>
          </w14:textFill>
        </w:rPr>
      </w:pPr>
      <w:r>
        <w:rPr>
          <w:rFonts w:hint="eastAsia" w:eastAsia="方正黑体_GBK"/>
          <w:color w:val="000000" w:themeColor="text1"/>
          <w:sz w:val="30"/>
          <w:szCs w:val="30"/>
          <w14:textFill>
            <w14:solidFill>
              <w14:schemeClr w14:val="tx1"/>
            </w14:solidFill>
          </w14:textFill>
        </w:rPr>
        <w:t>“十四五”时期全市工业经济发展目标（表九）</w:t>
      </w:r>
    </w:p>
    <w:tbl>
      <w:tblPr>
        <w:tblStyle w:val="25"/>
        <w:tblW w:w="89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6"/>
        <w:gridCol w:w="2625"/>
        <w:gridCol w:w="751"/>
        <w:gridCol w:w="1214"/>
        <w:gridCol w:w="1186"/>
        <w:gridCol w:w="22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blHeader/>
          <w:jc w:val="center"/>
        </w:trPr>
        <w:tc>
          <w:tcPr>
            <w:tcW w:w="96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360" w:lineRule="auto"/>
              <w:jc w:val="center"/>
              <w:rPr>
                <w:rFonts w:eastAsia="方正黑体_GBK"/>
                <w:color w:val="000000" w:themeColor="text1"/>
                <w:szCs w:val="21"/>
                <w14:textFill>
                  <w14:solidFill>
                    <w14:schemeClr w14:val="tx1"/>
                  </w14:solidFill>
                </w14:textFill>
              </w:rPr>
            </w:pPr>
            <w:r>
              <w:rPr>
                <w:rFonts w:hint="eastAsia" w:eastAsia="方正黑体_GBK"/>
                <w:color w:val="000000" w:themeColor="text1"/>
                <w:kern w:val="0"/>
                <w:szCs w:val="21"/>
                <w:lang w:bidi="ar"/>
                <w14:textFill>
                  <w14:solidFill>
                    <w14:schemeClr w14:val="tx1"/>
                  </w14:solidFill>
                </w14:textFill>
              </w:rPr>
              <w:t>一级指标</w:t>
            </w: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rFonts w:eastAsia="方正黑体_GBK"/>
                <w:color w:val="000000" w:themeColor="text1"/>
                <w:szCs w:val="21"/>
                <w14:textFill>
                  <w14:solidFill>
                    <w14:schemeClr w14:val="tx1"/>
                  </w14:solidFill>
                </w14:textFill>
              </w:rPr>
            </w:pPr>
            <w:r>
              <w:rPr>
                <w:rFonts w:hint="eastAsia" w:eastAsia="方正黑体_GBK"/>
                <w:color w:val="000000" w:themeColor="text1"/>
                <w:kern w:val="0"/>
                <w:szCs w:val="21"/>
                <w:lang w:bidi="ar"/>
                <w14:textFill>
                  <w14:solidFill>
                    <w14:schemeClr w14:val="tx1"/>
                  </w14:solidFill>
                </w14:textFill>
              </w:rPr>
              <w:t>二级指标</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rFonts w:eastAsia="方正黑体_GBK"/>
                <w:color w:val="000000" w:themeColor="text1"/>
                <w:kern w:val="0"/>
                <w:szCs w:val="21"/>
                <w:lang w:bidi="ar"/>
                <w14:textFill>
                  <w14:solidFill>
                    <w14:schemeClr w14:val="tx1"/>
                  </w14:solidFill>
                </w14:textFill>
              </w:rPr>
            </w:pPr>
            <w:r>
              <w:rPr>
                <w:rFonts w:hint="eastAsia" w:eastAsia="方正黑体_GBK"/>
                <w:color w:val="000000" w:themeColor="text1"/>
                <w:kern w:val="0"/>
                <w:szCs w:val="21"/>
                <w:lang w:bidi="ar"/>
                <w14:textFill>
                  <w14:solidFill>
                    <w14:schemeClr w14:val="tx1"/>
                  </w14:solidFill>
                </w14:textFill>
              </w:rPr>
              <w:t>单位</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rFonts w:eastAsia="方正黑体_GBK"/>
                <w:color w:val="000000" w:themeColor="text1"/>
                <w:szCs w:val="21"/>
                <w14:textFill>
                  <w14:solidFill>
                    <w14:schemeClr w14:val="tx1"/>
                  </w14:solidFill>
                </w14:textFill>
              </w:rPr>
            </w:pPr>
            <w:r>
              <w:rPr>
                <w:rFonts w:eastAsia="方正黑体_GBK"/>
                <w:color w:val="000000" w:themeColor="text1"/>
                <w:kern w:val="0"/>
                <w:szCs w:val="21"/>
                <w:lang w:bidi="ar"/>
                <w14:textFill>
                  <w14:solidFill>
                    <w14:schemeClr w14:val="tx1"/>
                  </w14:solidFill>
                </w14:textFill>
              </w:rPr>
              <w:t>2020</w:t>
            </w:r>
            <w:r>
              <w:rPr>
                <w:rFonts w:hint="eastAsia" w:eastAsia="方正黑体_GBK"/>
                <w:color w:val="000000" w:themeColor="text1"/>
                <w:kern w:val="0"/>
                <w:szCs w:val="21"/>
                <w:lang w:bidi="ar"/>
                <w14:textFill>
                  <w14:solidFill>
                    <w14:schemeClr w14:val="tx1"/>
                  </w14:solidFill>
                </w14:textFill>
              </w:rPr>
              <w:t>年</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rFonts w:eastAsia="方正黑体_GBK"/>
                <w:color w:val="000000" w:themeColor="text1"/>
                <w:szCs w:val="21"/>
                <w14:textFill>
                  <w14:solidFill>
                    <w14:schemeClr w14:val="tx1"/>
                  </w14:solidFill>
                </w14:textFill>
              </w:rPr>
            </w:pPr>
            <w:r>
              <w:rPr>
                <w:rFonts w:eastAsia="方正黑体_GBK"/>
                <w:color w:val="000000" w:themeColor="text1"/>
                <w:kern w:val="0"/>
                <w:szCs w:val="21"/>
                <w:lang w:bidi="ar"/>
                <w14:textFill>
                  <w14:solidFill>
                    <w14:schemeClr w14:val="tx1"/>
                  </w14:solidFill>
                </w14:textFill>
              </w:rPr>
              <w:t>2025</w:t>
            </w:r>
            <w:r>
              <w:rPr>
                <w:rFonts w:hint="eastAsia" w:eastAsia="方正黑体_GBK"/>
                <w:color w:val="000000" w:themeColor="text1"/>
                <w:kern w:val="0"/>
                <w:szCs w:val="21"/>
                <w:lang w:bidi="ar"/>
                <w14:textFill>
                  <w14:solidFill>
                    <w14:schemeClr w14:val="tx1"/>
                  </w14:solidFill>
                </w14:textFill>
              </w:rPr>
              <w:t>年目标</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360" w:lineRule="auto"/>
              <w:jc w:val="center"/>
              <w:rPr>
                <w:rFonts w:eastAsia="方正黑体_GBK"/>
                <w:color w:val="000000" w:themeColor="text1"/>
                <w:szCs w:val="21"/>
                <w14:textFill>
                  <w14:solidFill>
                    <w14:schemeClr w14:val="tx1"/>
                  </w14:solidFill>
                </w14:textFill>
              </w:rPr>
            </w:pPr>
            <w:r>
              <w:rPr>
                <w:rFonts w:hint="eastAsia" w:eastAsia="方正黑体_GBK"/>
                <w:color w:val="000000" w:themeColor="text1"/>
                <w:szCs w:val="21"/>
                <w14:textFill>
                  <w14:solidFill>
                    <w14:schemeClr w14:val="tx1"/>
                  </w14:solidFill>
                </w14:textFill>
              </w:rPr>
              <w:t>年均增长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restart"/>
            <w:tcBorders>
              <w:top w:val="single" w:color="000000" w:sz="4" w:space="0"/>
              <w:left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b/>
                <w:color w:val="000000" w:themeColor="text1"/>
                <w:szCs w:val="21"/>
                <w14:textFill>
                  <w14:solidFill>
                    <w14:schemeClr w14:val="tx1"/>
                  </w14:solidFill>
                </w14:textFill>
              </w:rPr>
            </w:pPr>
            <w:r>
              <w:rPr>
                <w:rFonts w:hint="eastAsia"/>
                <w:b/>
                <w:color w:val="000000" w:themeColor="text1"/>
                <w:kern w:val="0"/>
                <w:szCs w:val="21"/>
                <w:lang w:bidi="ar"/>
                <w14:textFill>
                  <w14:solidFill>
                    <w14:schemeClr w14:val="tx1"/>
                  </w14:solidFill>
                </w14:textFill>
              </w:rPr>
              <w:t>总量突破</w:t>
            </w: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工业增加值占</w:t>
            </w:r>
            <w:r>
              <w:rPr>
                <w:color w:val="000000" w:themeColor="text1"/>
                <w:szCs w:val="21"/>
                <w14:textFill>
                  <w14:solidFill>
                    <w14:schemeClr w14:val="tx1"/>
                  </w14:solidFill>
                </w14:textFill>
              </w:rPr>
              <w:t>GDP</w:t>
            </w:r>
            <w:r>
              <w:rPr>
                <w:rFonts w:hint="eastAsia"/>
                <w:color w:val="000000" w:themeColor="text1"/>
                <w:szCs w:val="21"/>
                <w14:textFill>
                  <w14:solidFill>
                    <w14:schemeClr w14:val="tx1"/>
                  </w14:solidFill>
                </w14:textFill>
              </w:rPr>
              <w:t>比重</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34.5</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45</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年均提高2.1个百分点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continue"/>
            <w:tcBorders>
              <w:left w:val="single" w:color="000000" w:sz="4" w:space="0"/>
              <w:right w:val="single" w:color="000000" w:sz="4" w:space="0"/>
            </w:tcBorders>
            <w:vAlign w:val="center"/>
          </w:tcPr>
          <w:p>
            <w:pPr>
              <w:widowControl/>
              <w:spacing w:line="440" w:lineRule="exact"/>
              <w:jc w:val="left"/>
              <w:rPr>
                <w:b/>
                <w:color w:val="000000" w:themeColor="text1"/>
                <w:szCs w:val="21"/>
                <w14:textFill>
                  <w14:solidFill>
                    <w14:schemeClr w14:val="tx1"/>
                  </w14:solidFill>
                </w14:textFill>
              </w:rPr>
            </w:pP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规模以上工业产值</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亿元</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2730</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7000</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年均增长20.7</w:t>
            </w:r>
            <w:r>
              <w:rPr>
                <w:color w:val="000000" w:themeColor="text1"/>
                <w:kern w:val="0"/>
                <w:szCs w:val="21"/>
                <w:lang w:bidi="ar"/>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continue"/>
            <w:tcBorders>
              <w:left w:val="single" w:color="000000" w:sz="4" w:space="0"/>
              <w:bottom w:val="single" w:color="000000" w:sz="4" w:space="0"/>
              <w:right w:val="single" w:color="000000" w:sz="4" w:space="0"/>
            </w:tcBorders>
            <w:vAlign w:val="center"/>
          </w:tcPr>
          <w:p>
            <w:pPr>
              <w:widowControl/>
              <w:spacing w:line="440" w:lineRule="exact"/>
              <w:jc w:val="left"/>
              <w:rPr>
                <w:b/>
                <w:color w:val="000000" w:themeColor="text1"/>
                <w:szCs w:val="21"/>
                <w14:textFill>
                  <w14:solidFill>
                    <w14:schemeClr w14:val="tx1"/>
                  </w14:solidFill>
                </w14:textFill>
              </w:rPr>
            </w:pP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进出口贸易总额</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亿美元</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47.83</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60</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年均增长4.6</w:t>
            </w:r>
            <w:r>
              <w:rPr>
                <w:color w:val="000000" w:themeColor="text1"/>
                <w:kern w:val="0"/>
                <w:szCs w:val="21"/>
                <w:lang w:bidi="ar"/>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b/>
                <w:color w:val="000000" w:themeColor="text1"/>
                <w:kern w:val="0"/>
                <w:szCs w:val="21"/>
                <w:lang w:bidi="ar"/>
                <w14:textFill>
                  <w14:solidFill>
                    <w14:schemeClr w14:val="tx1"/>
                  </w14:solidFill>
                </w14:textFill>
              </w:rPr>
            </w:pPr>
            <w:r>
              <w:rPr>
                <w:rFonts w:hint="eastAsia"/>
                <w:b/>
                <w:color w:val="000000" w:themeColor="text1"/>
                <w:kern w:val="0"/>
                <w:szCs w:val="21"/>
                <w:lang w:bidi="ar"/>
                <w14:textFill>
                  <w14:solidFill>
                    <w14:schemeClr w14:val="tx1"/>
                  </w14:solidFill>
                </w14:textFill>
              </w:rPr>
              <w:t>动力增强</w:t>
            </w: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工业固定资产投资增长</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-7.4</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8</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年均增长</w:t>
            </w:r>
            <w:r>
              <w:rPr>
                <w:color w:val="000000" w:themeColor="text1"/>
                <w:kern w:val="0"/>
                <w:szCs w:val="21"/>
                <w:lang w:bidi="ar"/>
                <w14:textFill>
                  <w14:solidFill>
                    <w14:schemeClr w14:val="tx1"/>
                  </w14:solidFill>
                </w14:textFill>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left"/>
              <w:rPr>
                <w:b/>
                <w:color w:val="000000" w:themeColor="text1"/>
                <w:kern w:val="0"/>
                <w:szCs w:val="21"/>
                <w:lang w:bidi="ar"/>
                <w14:textFill>
                  <w14:solidFill>
                    <w14:schemeClr w14:val="tx1"/>
                  </w14:solidFill>
                </w14:textFill>
              </w:rPr>
            </w:pP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工业技术改造投资增长</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-50.5</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11</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年均增长</w:t>
            </w:r>
            <w:r>
              <w:rPr>
                <w:color w:val="000000" w:themeColor="text1"/>
                <w:kern w:val="0"/>
                <w:szCs w:val="21"/>
                <w:lang w:bidi="ar"/>
                <w14:textFill>
                  <w14:solidFill>
                    <w14:schemeClr w14:val="tx1"/>
                  </w14:solidFill>
                </w14:textFill>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left"/>
              <w:rPr>
                <w:b/>
                <w:color w:val="000000" w:themeColor="text1"/>
                <w:kern w:val="0"/>
                <w:szCs w:val="21"/>
                <w:lang w:bidi="ar"/>
                <w14:textFill>
                  <w14:solidFill>
                    <w14:schemeClr w14:val="tx1"/>
                  </w14:solidFill>
                </w14:textFill>
              </w:rPr>
            </w:pP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实施投资超亿元以上新建项目</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个</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300</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1800</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年均</w:t>
            </w:r>
            <w:r>
              <w:rPr>
                <w:color w:val="000000" w:themeColor="text1"/>
                <w:kern w:val="0"/>
                <w:szCs w:val="21"/>
                <w:lang w:bidi="ar"/>
                <w14:textFill>
                  <w14:solidFill>
                    <w14:schemeClr w14:val="tx1"/>
                  </w14:solidFill>
                </w14:textFill>
              </w:rPr>
              <w:t>360</w:t>
            </w:r>
            <w:r>
              <w:rPr>
                <w:rFonts w:hint="eastAsia"/>
                <w:color w:val="000000" w:themeColor="text1"/>
                <w:kern w:val="0"/>
                <w:szCs w:val="21"/>
                <w:lang w:bidi="ar"/>
                <w14:textFill>
                  <w14:solidFill>
                    <w14:schemeClr w14:val="tx1"/>
                  </w14:solidFill>
                </w14:textFill>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left"/>
              <w:rPr>
                <w:b/>
                <w:color w:val="000000" w:themeColor="text1"/>
                <w:kern w:val="0"/>
                <w:szCs w:val="21"/>
                <w:lang w:bidi="ar"/>
                <w14:textFill>
                  <w14:solidFill>
                    <w14:schemeClr w14:val="tx1"/>
                  </w14:solidFill>
                </w14:textFill>
              </w:rPr>
            </w:pP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实施设备投资超</w:t>
            </w:r>
            <w:r>
              <w:rPr>
                <w:color w:val="000000" w:themeColor="text1"/>
                <w:kern w:val="0"/>
                <w:szCs w:val="21"/>
                <w:lang w:bidi="ar"/>
                <w14:textFill>
                  <w14:solidFill>
                    <w14:schemeClr w14:val="tx1"/>
                  </w14:solidFill>
                </w14:textFill>
              </w:rPr>
              <w:t>1000</w:t>
            </w:r>
            <w:r>
              <w:rPr>
                <w:rFonts w:hint="eastAsia"/>
                <w:color w:val="000000" w:themeColor="text1"/>
                <w:kern w:val="0"/>
                <w:szCs w:val="21"/>
                <w:lang w:bidi="ar"/>
                <w14:textFill>
                  <w14:solidFill>
                    <w14:schemeClr w14:val="tx1"/>
                  </w14:solidFill>
                </w14:textFill>
              </w:rPr>
              <w:t>万元技术改造项目</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个</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420</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1500</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年均</w:t>
            </w:r>
            <w:r>
              <w:rPr>
                <w:color w:val="000000" w:themeColor="text1"/>
                <w:kern w:val="0"/>
                <w:szCs w:val="21"/>
                <w:lang w:bidi="ar"/>
                <w14:textFill>
                  <w14:solidFill>
                    <w14:schemeClr w14:val="tx1"/>
                  </w14:solidFill>
                </w14:textFill>
              </w:rPr>
              <w:t>300</w:t>
            </w:r>
            <w:r>
              <w:rPr>
                <w:rFonts w:hint="eastAsia"/>
                <w:color w:val="000000" w:themeColor="text1"/>
                <w:kern w:val="0"/>
                <w:szCs w:val="21"/>
                <w:lang w:bidi="ar"/>
                <w14:textFill>
                  <w14:solidFill>
                    <w14:schemeClr w14:val="tx1"/>
                  </w14:solidFill>
                </w14:textFill>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left"/>
              <w:rPr>
                <w:b/>
                <w:color w:val="000000" w:themeColor="text1"/>
                <w:kern w:val="0"/>
                <w:szCs w:val="21"/>
                <w:lang w:bidi="ar"/>
                <w14:textFill>
                  <w14:solidFill>
                    <w14:schemeClr w14:val="tx1"/>
                  </w14:solidFill>
                </w14:textFill>
              </w:rPr>
            </w:pP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实施省市重大工业投资项目</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个</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100</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500</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年均</w:t>
            </w:r>
            <w:r>
              <w:rPr>
                <w:color w:val="000000" w:themeColor="text1"/>
                <w:kern w:val="0"/>
                <w:szCs w:val="21"/>
                <w:lang w:bidi="ar"/>
                <w14:textFill>
                  <w14:solidFill>
                    <w14:schemeClr w14:val="tx1"/>
                  </w14:solidFill>
                </w14:textFill>
              </w:rPr>
              <w:t>100</w:t>
            </w:r>
            <w:r>
              <w:rPr>
                <w:rFonts w:hint="eastAsia"/>
                <w:color w:val="000000" w:themeColor="text1"/>
                <w:kern w:val="0"/>
                <w:szCs w:val="21"/>
                <w:lang w:bidi="ar"/>
                <w14:textFill>
                  <w14:solidFill>
                    <w14:schemeClr w14:val="tx1"/>
                  </w14:solidFill>
                </w14:textFill>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b/>
                <w:color w:val="000000" w:themeColor="text1"/>
                <w:szCs w:val="21"/>
                <w14:textFill>
                  <w14:solidFill>
                    <w14:schemeClr w14:val="tx1"/>
                  </w14:solidFill>
                </w14:textFill>
              </w:rPr>
            </w:pPr>
            <w:r>
              <w:rPr>
                <w:rFonts w:hint="eastAsia"/>
                <w:b/>
                <w:color w:val="000000" w:themeColor="text1"/>
                <w:kern w:val="0"/>
                <w:szCs w:val="21"/>
                <w:lang w:bidi="ar"/>
                <w14:textFill>
                  <w14:solidFill>
                    <w14:schemeClr w14:val="tx1"/>
                  </w14:solidFill>
                </w14:textFill>
              </w:rPr>
              <w:t>结构优化</w:t>
            </w: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机电装备产业产值</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亿元</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429.8</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1000</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年均增长18.4</w:t>
            </w:r>
            <w:r>
              <w:rPr>
                <w:color w:val="000000" w:themeColor="text1"/>
                <w:kern w:val="0"/>
                <w:szCs w:val="21"/>
                <w:lang w:bidi="ar"/>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left"/>
              <w:rPr>
                <w:b/>
                <w:color w:val="000000" w:themeColor="text1"/>
                <w:szCs w:val="21"/>
                <w14:textFill>
                  <w14:solidFill>
                    <w14:schemeClr w14:val="tx1"/>
                  </w14:solidFill>
                </w14:textFill>
              </w:rPr>
            </w:pP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绿色食品产业产值</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亿元</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497.4</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1000</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年均增长15</w:t>
            </w:r>
            <w:r>
              <w:rPr>
                <w:color w:val="000000" w:themeColor="text1"/>
                <w:kern w:val="0"/>
                <w:szCs w:val="21"/>
                <w:lang w:bidi="ar"/>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left"/>
              <w:rPr>
                <w:b/>
                <w:color w:val="000000" w:themeColor="text1"/>
                <w:szCs w:val="21"/>
                <w14:textFill>
                  <w14:solidFill>
                    <w14:schemeClr w14:val="tx1"/>
                  </w14:solidFill>
                </w14:textFill>
              </w:rPr>
            </w:pP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高端纺织产业产值</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亿元</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436.5</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1800</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年均增长32.8</w:t>
            </w:r>
            <w:r>
              <w:rPr>
                <w:color w:val="000000" w:themeColor="text1"/>
                <w:kern w:val="0"/>
                <w:szCs w:val="21"/>
                <w:lang w:bidi="ar"/>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left"/>
              <w:rPr>
                <w:b/>
                <w:color w:val="000000" w:themeColor="text1"/>
                <w:szCs w:val="21"/>
                <w14:textFill>
                  <w14:solidFill>
                    <w14:schemeClr w14:val="tx1"/>
                  </w14:solidFill>
                </w14:textFill>
              </w:rPr>
            </w:pP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光伏新能源产业产值</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亿元</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98.5</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1000</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年均增长59</w:t>
            </w:r>
            <w:r>
              <w:rPr>
                <w:color w:val="000000" w:themeColor="text1"/>
                <w:kern w:val="0"/>
                <w:szCs w:val="21"/>
                <w:lang w:bidi="ar"/>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b/>
                <w:color w:val="000000" w:themeColor="text1"/>
                <w:szCs w:val="21"/>
                <w14:textFill>
                  <w14:solidFill>
                    <w14:schemeClr w14:val="tx1"/>
                  </w14:solidFill>
                </w14:textFill>
              </w:rPr>
            </w:pPr>
            <w:r>
              <w:rPr>
                <w:rFonts w:hint="eastAsia"/>
                <w:b/>
                <w:color w:val="000000" w:themeColor="text1"/>
                <w:kern w:val="0"/>
                <w:szCs w:val="21"/>
                <w:lang w:bidi="ar"/>
                <w14:textFill>
                  <w14:solidFill>
                    <w14:schemeClr w14:val="tx1"/>
                  </w14:solidFill>
                </w14:textFill>
              </w:rPr>
              <w:t>主体壮大</w:t>
            </w: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规模以上工业企业数</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户</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1746</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2500</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年均净增150户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left"/>
              <w:rPr>
                <w:b/>
                <w:color w:val="000000" w:themeColor="text1"/>
                <w:szCs w:val="21"/>
                <w14:textFill>
                  <w14:solidFill>
                    <w14:schemeClr w14:val="tx1"/>
                  </w14:solidFill>
                </w14:textFill>
              </w:rPr>
            </w:pP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百亿级企业数</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户</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13</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年均净增约</w:t>
            </w:r>
            <w:r>
              <w:rPr>
                <w:color w:val="000000" w:themeColor="text1"/>
                <w:kern w:val="0"/>
                <w:szCs w:val="21"/>
                <w:lang w:bidi="ar"/>
                <w14:textFill>
                  <w14:solidFill>
                    <w14:schemeClr w14:val="tx1"/>
                  </w14:solidFill>
                </w14:textFill>
              </w:rPr>
              <w:t>2</w:t>
            </w:r>
            <w:r>
              <w:rPr>
                <w:rFonts w:hint="eastAsia"/>
                <w:color w:val="000000" w:themeColor="text1"/>
                <w:kern w:val="0"/>
                <w:szCs w:val="21"/>
                <w:lang w:bidi="ar"/>
                <w14:textFill>
                  <w14:solidFill>
                    <w14:schemeClr w14:val="tx1"/>
                  </w14:solidFill>
                </w14:textFill>
              </w:rPr>
              <w:t>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left"/>
              <w:rPr>
                <w:b/>
                <w:color w:val="000000" w:themeColor="text1"/>
                <w:szCs w:val="21"/>
                <w14:textFill>
                  <w14:solidFill>
                    <w14:schemeClr w14:val="tx1"/>
                  </w14:solidFill>
                </w14:textFill>
              </w:rPr>
            </w:pP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w:t>
            </w:r>
            <w:r>
              <w:rPr>
                <w:rFonts w:hint="eastAsia"/>
                <w:color w:val="000000" w:themeColor="text1"/>
                <w:kern w:val="0"/>
                <w:szCs w:val="21"/>
                <w:lang w:bidi="ar"/>
                <w14:textFill>
                  <w14:solidFill>
                    <w14:schemeClr w14:val="tx1"/>
                  </w14:solidFill>
                </w14:textFill>
              </w:rPr>
              <w:t>亿级企业数</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户</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120</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年均净增</w:t>
            </w:r>
            <w:r>
              <w:rPr>
                <w:color w:val="000000" w:themeColor="text1"/>
                <w:kern w:val="0"/>
                <w:szCs w:val="21"/>
                <w:lang w:bidi="ar"/>
                <w14:textFill>
                  <w14:solidFill>
                    <w14:schemeClr w14:val="tx1"/>
                  </w14:solidFill>
                </w14:textFill>
              </w:rPr>
              <w:t>14</w:t>
            </w:r>
            <w:r>
              <w:rPr>
                <w:rFonts w:hint="eastAsia"/>
                <w:color w:val="000000" w:themeColor="text1"/>
                <w:kern w:val="0"/>
                <w:szCs w:val="21"/>
                <w:lang w:bidi="ar"/>
                <w14:textFill>
                  <w14:solidFill>
                    <w14:schemeClr w14:val="tx1"/>
                  </w14:solidFill>
                </w14:textFill>
              </w:rPr>
              <w:t>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left"/>
              <w:rPr>
                <w:b/>
                <w:color w:val="000000" w:themeColor="text1"/>
                <w:szCs w:val="21"/>
                <w14:textFill>
                  <w14:solidFill>
                    <w14:schemeClr w14:val="tx1"/>
                  </w14:solidFill>
                </w14:textFill>
              </w:rPr>
            </w:pP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A</w:t>
            </w:r>
            <w:r>
              <w:rPr>
                <w:rFonts w:hint="eastAsia"/>
                <w:color w:val="000000" w:themeColor="text1"/>
                <w:kern w:val="0"/>
                <w:szCs w:val="21"/>
                <w:lang w:bidi="ar"/>
                <w14:textFill>
                  <w14:solidFill>
                    <w14:schemeClr w14:val="tx1"/>
                  </w14:solidFill>
                </w14:textFill>
              </w:rPr>
              <w:t>股上市企业数</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户</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6</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15</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年均净增2户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restart"/>
            <w:tcBorders>
              <w:top w:val="single" w:color="000000" w:sz="4" w:space="0"/>
              <w:left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b/>
                <w:color w:val="000000" w:themeColor="text1"/>
                <w:szCs w:val="21"/>
                <w14:textFill>
                  <w14:solidFill>
                    <w14:schemeClr w14:val="tx1"/>
                  </w14:solidFill>
                </w14:textFill>
              </w:rPr>
            </w:pPr>
            <w:r>
              <w:rPr>
                <w:rFonts w:hint="eastAsia"/>
                <w:b/>
                <w:color w:val="000000" w:themeColor="text1"/>
                <w:kern w:val="0"/>
                <w:szCs w:val="21"/>
                <w:lang w:bidi="ar"/>
                <w14:textFill>
                  <w14:solidFill>
                    <w14:schemeClr w14:val="tx1"/>
                  </w14:solidFill>
                </w14:textFill>
              </w:rPr>
              <w:t>创新驱动</w:t>
            </w: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企业研发经费占</w:t>
            </w:r>
            <w:r>
              <w:rPr>
                <w:color w:val="000000" w:themeColor="text1"/>
                <w:kern w:val="0"/>
                <w:szCs w:val="21"/>
                <w:lang w:bidi="ar"/>
                <w14:textFill>
                  <w14:solidFill>
                    <w14:schemeClr w14:val="tx1"/>
                  </w14:solidFill>
                </w14:textFill>
              </w:rPr>
              <w:t>GDP</w:t>
            </w:r>
            <w:r>
              <w:rPr>
                <w:rFonts w:hint="eastAsia"/>
                <w:color w:val="000000" w:themeColor="text1"/>
                <w:kern w:val="0"/>
                <w:szCs w:val="21"/>
                <w:lang w:bidi="ar"/>
                <w14:textFill>
                  <w14:solidFill>
                    <w14:schemeClr w14:val="tx1"/>
                  </w14:solidFill>
                </w14:textFill>
              </w:rPr>
              <w:t>比重</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2.5</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年均提高</w:t>
            </w:r>
            <w:r>
              <w:rPr>
                <w:color w:val="000000" w:themeColor="text1"/>
                <w:kern w:val="0"/>
                <w:szCs w:val="21"/>
                <w:lang w:bidi="ar"/>
                <w14:textFill>
                  <w14:solidFill>
                    <w14:schemeClr w14:val="tx1"/>
                  </w14:solidFill>
                </w14:textFill>
              </w:rPr>
              <w:t>0.1</w:t>
            </w:r>
            <w:r>
              <w:rPr>
                <w:rFonts w:hint="eastAsia"/>
                <w:color w:val="000000" w:themeColor="text1"/>
                <w:kern w:val="0"/>
                <w:szCs w:val="21"/>
                <w:lang w:bidi="ar"/>
                <w14:textFill>
                  <w14:solidFill>
                    <w14:schemeClr w14:val="tx1"/>
                  </w14:solidFill>
                </w14:textFill>
              </w:rPr>
              <w:t>个百分点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continue"/>
            <w:tcBorders>
              <w:left w:val="single" w:color="000000" w:sz="4" w:space="0"/>
              <w:right w:val="single" w:color="000000" w:sz="4" w:space="0"/>
            </w:tcBorders>
            <w:vAlign w:val="center"/>
          </w:tcPr>
          <w:p>
            <w:pPr>
              <w:widowControl/>
              <w:spacing w:line="440" w:lineRule="exact"/>
              <w:jc w:val="left"/>
              <w:rPr>
                <w:b/>
                <w:color w:val="000000" w:themeColor="text1"/>
                <w:szCs w:val="21"/>
                <w14:textFill>
                  <w14:solidFill>
                    <w14:schemeClr w14:val="tx1"/>
                  </w14:solidFill>
                </w14:textFill>
              </w:rPr>
            </w:pP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高新技术企业数</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户</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472</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1000</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年均增加</w:t>
            </w:r>
            <w:r>
              <w:rPr>
                <w:color w:val="000000" w:themeColor="text1"/>
                <w:kern w:val="0"/>
                <w:szCs w:val="21"/>
                <w:lang w:bidi="ar"/>
                <w14:textFill>
                  <w14:solidFill>
                    <w14:schemeClr w14:val="tx1"/>
                  </w14:solidFill>
                </w14:textFill>
              </w:rPr>
              <w:t>106</w:t>
            </w:r>
            <w:r>
              <w:rPr>
                <w:rFonts w:hint="eastAsia"/>
                <w:color w:val="000000" w:themeColor="text1"/>
                <w:kern w:val="0"/>
                <w:szCs w:val="21"/>
                <w:lang w:bidi="ar"/>
                <w14:textFill>
                  <w14:solidFill>
                    <w14:schemeClr w14:val="tx1"/>
                  </w14:solidFill>
                </w14:textFill>
              </w:rPr>
              <w:t>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continue"/>
            <w:tcBorders>
              <w:left w:val="single" w:color="000000" w:sz="4" w:space="0"/>
              <w:right w:val="single" w:color="000000" w:sz="4" w:space="0"/>
            </w:tcBorders>
            <w:vAlign w:val="center"/>
          </w:tcPr>
          <w:p>
            <w:pPr>
              <w:widowControl/>
              <w:spacing w:line="440" w:lineRule="exact"/>
              <w:jc w:val="left"/>
              <w:rPr>
                <w:b/>
                <w:color w:val="000000" w:themeColor="text1"/>
                <w:szCs w:val="21"/>
                <w14:textFill>
                  <w14:solidFill>
                    <w14:schemeClr w14:val="tx1"/>
                  </w14:solidFill>
                </w14:textFill>
              </w:rPr>
            </w:pP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高新技术产业产值占比</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31.6</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50</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年均提高</w:t>
            </w:r>
            <w:r>
              <w:rPr>
                <w:color w:val="000000" w:themeColor="text1"/>
                <w:kern w:val="0"/>
                <w:szCs w:val="21"/>
                <w:lang w:bidi="ar"/>
                <w14:textFill>
                  <w14:solidFill>
                    <w14:schemeClr w14:val="tx1"/>
                  </w14:solidFill>
                </w14:textFill>
              </w:rPr>
              <w:t>3.68</w:t>
            </w:r>
            <w:r>
              <w:rPr>
                <w:rFonts w:hint="eastAsia"/>
                <w:color w:val="000000" w:themeColor="text1"/>
                <w:kern w:val="0"/>
                <w:szCs w:val="21"/>
                <w:lang w:bidi="ar"/>
                <w14:textFill>
                  <w14:solidFill>
                    <w14:schemeClr w14:val="tx1"/>
                  </w14:solidFill>
                </w14:textFill>
              </w:rPr>
              <w:t>个百分点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restart"/>
            <w:tcBorders>
              <w:top w:val="single" w:color="000000" w:sz="4" w:space="0"/>
              <w:left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b/>
                <w:color w:val="000000" w:themeColor="text1"/>
                <w:szCs w:val="21"/>
                <w14:textFill>
                  <w14:solidFill>
                    <w14:schemeClr w14:val="tx1"/>
                  </w14:solidFill>
                </w14:textFill>
              </w:rPr>
            </w:pPr>
            <w:r>
              <w:rPr>
                <w:rFonts w:hint="eastAsia"/>
                <w:b/>
                <w:color w:val="000000" w:themeColor="text1"/>
                <w:kern w:val="0"/>
                <w:szCs w:val="21"/>
                <w:lang w:bidi="ar"/>
                <w14:textFill>
                  <w14:solidFill>
                    <w14:schemeClr w14:val="tx1"/>
                  </w14:solidFill>
                </w14:textFill>
              </w:rPr>
              <w:t>数字转型</w:t>
            </w: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tcPr>
          <w:p>
            <w:pPr>
              <w:spacing w:line="44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累计实施数字化改造提升重点项目数</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40" w:lineRule="exact"/>
              <w:jc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个</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128</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300</w:t>
            </w:r>
            <w:r>
              <w:rPr>
                <w:rFonts w:hint="eastAsia"/>
                <w:color w:val="000000" w:themeColor="text1"/>
                <w:kern w:val="0"/>
                <w:szCs w:val="21"/>
                <w:lang w:bidi="ar"/>
                <w14:textFill>
                  <w14:solidFill>
                    <w14:schemeClr w14:val="tx1"/>
                  </w14:solidFill>
                </w14:textFill>
              </w:rPr>
              <w:t>以上</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年均实施60个以上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continue"/>
            <w:tcBorders>
              <w:left w:val="single" w:color="000000" w:sz="4" w:space="0"/>
              <w:right w:val="single" w:color="000000" w:sz="4" w:space="0"/>
            </w:tcBorders>
            <w:tcMar>
              <w:top w:w="15" w:type="dxa"/>
              <w:left w:w="15" w:type="dxa"/>
              <w:bottom w:w="0" w:type="dxa"/>
              <w:right w:w="15" w:type="dxa"/>
            </w:tcMar>
            <w:vAlign w:val="center"/>
          </w:tcPr>
          <w:p>
            <w:pPr>
              <w:spacing w:line="440" w:lineRule="exact"/>
              <w:rPr>
                <w:b/>
                <w:color w:val="000000" w:themeColor="text1"/>
                <w:szCs w:val="21"/>
                <w14:textFill>
                  <w14:solidFill>
                    <w14:schemeClr w14:val="tx1"/>
                  </w14:solidFill>
                </w14:textFill>
              </w:rPr>
            </w:pP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4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累计创建市级以上工业互联网标杆工厂</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户</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13</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70以上</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年均创建</w:t>
            </w:r>
            <w:r>
              <w:rPr>
                <w:color w:val="000000" w:themeColor="text1"/>
                <w:kern w:val="0"/>
                <w:szCs w:val="21"/>
                <w:lang w:bidi="ar"/>
                <w14:textFill>
                  <w14:solidFill>
                    <w14:schemeClr w14:val="tx1"/>
                  </w14:solidFill>
                </w14:textFill>
              </w:rPr>
              <w:t>14</w:t>
            </w:r>
            <w:r>
              <w:rPr>
                <w:rFonts w:hint="eastAsia"/>
                <w:color w:val="000000" w:themeColor="text1"/>
                <w:kern w:val="0"/>
                <w:szCs w:val="21"/>
                <w:lang w:bidi="ar"/>
                <w14:textFill>
                  <w14:solidFill>
                    <w14:schemeClr w14:val="tx1"/>
                  </w14:solidFill>
                </w14:textFill>
              </w:rPr>
              <w:t>户以上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continue"/>
            <w:tcBorders>
              <w:left w:val="single" w:color="000000" w:sz="4" w:space="0"/>
              <w:right w:val="single" w:color="000000" w:sz="4" w:space="0"/>
            </w:tcBorders>
            <w:tcMar>
              <w:top w:w="15" w:type="dxa"/>
              <w:left w:w="15" w:type="dxa"/>
              <w:bottom w:w="0" w:type="dxa"/>
              <w:right w:w="15" w:type="dxa"/>
            </w:tcMar>
            <w:vAlign w:val="center"/>
          </w:tcPr>
          <w:p>
            <w:pPr>
              <w:spacing w:line="440" w:lineRule="exact"/>
              <w:rPr>
                <w:b/>
                <w:color w:val="000000" w:themeColor="text1"/>
                <w:szCs w:val="21"/>
                <w14:textFill>
                  <w14:solidFill>
                    <w14:schemeClr w14:val="tx1"/>
                  </w14:solidFill>
                </w14:textFill>
              </w:rPr>
            </w:pP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4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星级上云企业累计数</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户</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391</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2000以上</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年新增</w:t>
            </w:r>
            <w:r>
              <w:rPr>
                <w:color w:val="000000" w:themeColor="text1"/>
                <w:kern w:val="0"/>
                <w:szCs w:val="21"/>
                <w:lang w:bidi="ar"/>
                <w14:textFill>
                  <w14:solidFill>
                    <w14:schemeClr w14:val="tx1"/>
                  </w14:solidFill>
                </w14:textFill>
              </w:rPr>
              <w:t>322</w:t>
            </w:r>
            <w:r>
              <w:rPr>
                <w:rFonts w:hint="eastAsia"/>
                <w:color w:val="000000" w:themeColor="text1"/>
                <w:kern w:val="0"/>
                <w:szCs w:val="21"/>
                <w:lang w:bidi="ar"/>
                <w14:textFill>
                  <w14:solidFill>
                    <w14:schemeClr w14:val="tx1"/>
                  </w14:solidFill>
                </w14:textFill>
              </w:rPr>
              <w:t>户以上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continue"/>
            <w:tcBorders>
              <w:left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b/>
                <w:color w:val="000000" w:themeColor="text1"/>
                <w:kern w:val="0"/>
                <w:szCs w:val="21"/>
                <w:lang w:bidi="ar"/>
                <w14:textFill>
                  <w14:solidFill>
                    <w14:schemeClr w14:val="tx1"/>
                  </w14:solidFill>
                </w14:textFill>
              </w:rPr>
            </w:pP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企业两化融合发展水平指数</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58.8</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65</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年均提高1.24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966" w:type="dxa"/>
            <w:vMerge w:val="restart"/>
            <w:tcBorders>
              <w:top w:val="single" w:color="000000" w:sz="4" w:space="0"/>
              <w:left w:val="single" w:color="000000" w:sz="4" w:space="0"/>
              <w:right w:val="single" w:color="000000" w:sz="4" w:space="0"/>
            </w:tcBorders>
            <w:tcMar>
              <w:top w:w="15" w:type="dxa"/>
              <w:left w:w="15" w:type="dxa"/>
              <w:bottom w:w="0" w:type="dxa"/>
              <w:right w:w="15" w:type="dxa"/>
            </w:tcMar>
            <w:vAlign w:val="center"/>
          </w:tcPr>
          <w:p>
            <w:pPr>
              <w:spacing w:line="440" w:lineRule="exact"/>
              <w:jc w:val="center"/>
              <w:textAlignment w:val="center"/>
              <w:rPr>
                <w:b/>
                <w:color w:val="000000" w:themeColor="text1"/>
                <w:kern w:val="0"/>
                <w:szCs w:val="21"/>
                <w:lang w:bidi="ar"/>
                <w14:textFill>
                  <w14:solidFill>
                    <w14:schemeClr w14:val="tx1"/>
                  </w14:solidFill>
                </w14:textFill>
              </w:rPr>
            </w:pPr>
            <w:r>
              <w:rPr>
                <w:rFonts w:hint="eastAsia"/>
                <w:b/>
                <w:color w:val="000000" w:themeColor="text1"/>
                <w:kern w:val="0"/>
                <w:szCs w:val="21"/>
                <w:lang w:bidi="ar"/>
                <w14:textFill>
                  <w14:solidFill>
                    <w14:schemeClr w14:val="tx1"/>
                  </w14:solidFill>
                </w14:textFill>
              </w:rPr>
              <w:t>绿色发展</w:t>
            </w: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新增绿色制造示范数</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个</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73</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150</w:t>
            </w:r>
            <w:r>
              <w:rPr>
                <w:rFonts w:hint="eastAsia"/>
                <w:color w:val="000000" w:themeColor="text1"/>
                <w:kern w:val="0"/>
                <w:szCs w:val="21"/>
                <w:lang w:bidi="ar"/>
                <w14:textFill>
                  <w14:solidFill>
                    <w14:schemeClr w14:val="tx1"/>
                  </w14:solidFill>
                </w14:textFill>
              </w:rPr>
              <w:t>以上</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年均获评</w:t>
            </w:r>
            <w:r>
              <w:rPr>
                <w:color w:val="000000" w:themeColor="text1"/>
                <w:kern w:val="0"/>
                <w:szCs w:val="21"/>
                <w:lang w:bidi="ar"/>
                <w14:textFill>
                  <w14:solidFill>
                    <w14:schemeClr w14:val="tx1"/>
                  </w14:solidFill>
                </w14:textFill>
              </w:rPr>
              <w:t>30</w:t>
            </w:r>
            <w:r>
              <w:rPr>
                <w:rFonts w:hint="eastAsia"/>
                <w:color w:val="000000" w:themeColor="text1"/>
                <w:kern w:val="0"/>
                <w:szCs w:val="21"/>
                <w:lang w:bidi="ar"/>
                <w14:textFill>
                  <w14:solidFill>
                    <w14:schemeClr w14:val="tx1"/>
                  </w14:solidFill>
                </w14:textFill>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continue"/>
            <w:tcBorders>
              <w:left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left"/>
              <w:textAlignment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万元</w:t>
            </w:r>
            <w:r>
              <w:rPr>
                <w:color w:val="000000" w:themeColor="text1"/>
                <w:kern w:val="0"/>
                <w:szCs w:val="21"/>
                <w:lang w:bidi="ar"/>
                <w14:textFill>
                  <w14:solidFill>
                    <w14:schemeClr w14:val="tx1"/>
                  </w14:solidFill>
                </w14:textFill>
              </w:rPr>
              <w:t>GDP</w:t>
            </w:r>
            <w:r>
              <w:rPr>
                <w:rFonts w:hint="eastAsia"/>
                <w:color w:val="000000" w:themeColor="text1"/>
                <w:kern w:val="0"/>
                <w:szCs w:val="21"/>
                <w:lang w:bidi="ar"/>
                <w14:textFill>
                  <w14:solidFill>
                    <w14:schemeClr w14:val="tx1"/>
                  </w14:solidFill>
                </w14:textFill>
              </w:rPr>
              <w:t>能耗下降率</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1.5</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完成省下达任务</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vMerge w:val="continue"/>
            <w:tcBorders>
              <w:left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40" w:lineRule="exact"/>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一般工业固体废弃物综合利用率</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90</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90</w:t>
            </w:r>
            <w:r>
              <w:rPr>
                <w:rFonts w:hint="eastAsia"/>
                <w:color w:val="000000" w:themeColor="text1"/>
                <w:kern w:val="0"/>
                <w:szCs w:val="21"/>
                <w:lang w:bidi="ar"/>
                <w14:textFill>
                  <w14:solidFill>
                    <w14:schemeClr w14:val="tx1"/>
                  </w14:solidFill>
                </w14:textFill>
              </w:rPr>
              <w:t>以上</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textAlignment w:val="center"/>
              <w:rPr>
                <w:color w:val="000000" w:themeColor="text1"/>
                <w:kern w:val="0"/>
                <w:szCs w:val="21"/>
                <w:lang w:bidi="ar"/>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66" w:type="dxa"/>
            <w:tcBorders>
              <w:left w:val="single" w:color="000000" w:sz="4" w:space="0"/>
              <w:right w:val="single" w:color="000000" w:sz="4" w:space="0"/>
            </w:tcBorders>
            <w:tcMar>
              <w:top w:w="15" w:type="dxa"/>
              <w:left w:w="15" w:type="dxa"/>
              <w:bottom w:w="0" w:type="dxa"/>
              <w:right w:w="15" w:type="dxa"/>
            </w:tcMar>
            <w:vAlign w:val="center"/>
          </w:tcPr>
          <w:p>
            <w:pPr>
              <w:spacing w:line="440" w:lineRule="exact"/>
              <w:jc w:val="center"/>
              <w:rPr>
                <w:color w:val="000000" w:themeColor="text1"/>
                <w:szCs w:val="21"/>
                <w14:textFill>
                  <w14:solidFill>
                    <w14:schemeClr w14:val="tx1"/>
                  </w14:solidFill>
                </w14:textFill>
              </w:rPr>
            </w:pPr>
            <w:r>
              <w:rPr>
                <w:rFonts w:hint="eastAsia"/>
                <w:b/>
                <w:color w:val="000000" w:themeColor="text1"/>
                <w:kern w:val="0"/>
                <w:szCs w:val="21"/>
                <w:lang w:bidi="ar"/>
                <w14:textFill>
                  <w14:solidFill>
                    <w14:schemeClr w14:val="tx1"/>
                  </w14:solidFill>
                </w14:textFill>
              </w:rPr>
              <w:t>平台支撑</w:t>
            </w:r>
          </w:p>
        </w:tc>
        <w:tc>
          <w:tcPr>
            <w:tcW w:w="26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spacing w:line="44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中小企业公共服务平台、产业研究院等各类平台数</w:t>
            </w:r>
          </w:p>
        </w:tc>
        <w:tc>
          <w:tcPr>
            <w:tcW w:w="751"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个</w:t>
            </w:r>
          </w:p>
        </w:tc>
        <w:tc>
          <w:tcPr>
            <w:tcW w:w="121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50</w:t>
            </w:r>
          </w:p>
        </w:tc>
        <w:tc>
          <w:tcPr>
            <w:tcW w:w="118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100</w:t>
            </w:r>
          </w:p>
        </w:tc>
        <w:tc>
          <w:tcPr>
            <w:tcW w:w="221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spacing w:line="440" w:lineRule="exact"/>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年均增长10个</w:t>
            </w:r>
          </w:p>
        </w:tc>
      </w:tr>
    </w:tbl>
    <w:p>
      <w:pPr>
        <w:spacing w:line="580" w:lineRule="exact"/>
        <w:rPr>
          <w:color w:val="000000" w:themeColor="text1"/>
          <w:sz w:val="32"/>
          <w:szCs w:val="32"/>
          <w14:textFill>
            <w14:solidFill>
              <w14:schemeClr w14:val="tx1"/>
            </w14:solidFill>
          </w14:textFill>
        </w:rPr>
      </w:pPr>
    </w:p>
    <w:p>
      <w:pPr>
        <w:widowControl/>
        <w:spacing w:line="580" w:lineRule="exact"/>
        <w:jc w:val="left"/>
        <w:rPr>
          <w:rFonts w:eastAsia="宋体"/>
          <w:b/>
          <w:bCs/>
          <w:color w:val="000000" w:themeColor="text1"/>
          <w:sz w:val="33"/>
          <w:szCs w:val="33"/>
          <w14:textFill>
            <w14:solidFill>
              <w14:schemeClr w14:val="tx1"/>
            </w14:solidFill>
          </w14:textFill>
        </w:rPr>
      </w:pPr>
      <w:r>
        <w:rPr>
          <w:color w:val="000000" w:themeColor="text1"/>
          <w14:textFill>
            <w14:solidFill>
              <w14:schemeClr w14:val="tx1"/>
            </w14:solidFill>
          </w14:textFill>
        </w:rPr>
        <w:br w:type="page"/>
      </w:r>
    </w:p>
    <w:p>
      <w:pPr>
        <w:pStyle w:val="2"/>
        <w:spacing w:line="580" w:lineRule="exact"/>
        <w:ind w:firstLine="331"/>
        <w:rPr>
          <w:rFonts w:ascii="Times New Roman" w:hAnsi="Times New Roman"/>
          <w:color w:val="000000" w:themeColor="text1"/>
          <w:lang w:val="en-US" w:bidi="ar-SA"/>
          <w14:textFill>
            <w14:solidFill>
              <w14:schemeClr w14:val="tx1"/>
            </w14:solidFill>
          </w14:textFill>
        </w:rPr>
      </w:pPr>
    </w:p>
    <w:p>
      <w:pPr>
        <w:pStyle w:val="6"/>
        <w:spacing w:before="0" w:after="0" w:line="580" w:lineRule="exact"/>
        <w:jc w:val="center"/>
        <w:rPr>
          <w:rFonts w:eastAsia="方正黑体_GBK"/>
          <w:b w:val="0"/>
          <w:color w:val="000000" w:themeColor="text1"/>
          <w:sz w:val="32"/>
          <w:szCs w:val="32"/>
          <w14:textFill>
            <w14:solidFill>
              <w14:schemeClr w14:val="tx1"/>
            </w14:solidFill>
          </w14:textFill>
        </w:rPr>
      </w:pPr>
      <w:bookmarkStart w:id="24" w:name="_Toc31266"/>
      <w:bookmarkStart w:id="25" w:name="_Toc75019412"/>
      <w:r>
        <w:rPr>
          <w:rFonts w:hint="eastAsia" w:eastAsia="方正黑体_GBK"/>
          <w:b w:val="0"/>
          <w:color w:val="000000" w:themeColor="text1"/>
          <w:sz w:val="32"/>
          <w:szCs w:val="32"/>
          <w14:textFill>
            <w14:solidFill>
              <w14:schemeClr w14:val="tx1"/>
            </w14:solidFill>
          </w14:textFill>
        </w:rPr>
        <w:t>第四章  产业重点方向</w:t>
      </w:r>
      <w:bookmarkEnd w:id="24"/>
      <w:bookmarkEnd w:id="25"/>
    </w:p>
    <w:p>
      <w:pPr>
        <w:spacing w:line="580" w:lineRule="exact"/>
        <w:rPr>
          <w:color w:val="000000" w:themeColor="text1"/>
          <w:sz w:val="32"/>
          <w:szCs w:val="32"/>
          <w14:textFill>
            <w14:solidFill>
              <w14:schemeClr w14:val="tx1"/>
            </w14:solidFill>
          </w14:textFill>
        </w:rPr>
      </w:pP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十四五”时期，全市重点发展机电装备、绿色食品、高端纺织、光伏新能源、绿色家居、新材料6大主导产业，聚力推动主导产业向集群化、高端化、绿色化、智能化、融合化、特色化方向发展，并向产业链上下游和高端配套领域、关联领域延伸，培育形成新一代信息技术、生物医药、数字经济“3+X”个先导产业，逐步构建“6+3+X”产业发展新格局。</w:t>
      </w:r>
    </w:p>
    <w:p>
      <w:pPr>
        <w:spacing w:before="78" w:beforeLines="25" w:line="580" w:lineRule="exact"/>
        <w:jc w:val="center"/>
        <w:rPr>
          <w:rFonts w:eastAsia="方正黑体_GBK"/>
          <w:color w:val="000000" w:themeColor="text1"/>
          <w:sz w:val="28"/>
          <w:szCs w:val="30"/>
          <w14:textFill>
            <w14:solidFill>
              <w14:schemeClr w14:val="tx1"/>
            </w14:solidFill>
          </w14:textFill>
        </w:rPr>
      </w:pPr>
      <w:r>
        <w:rPr>
          <w:rFonts w:hint="eastAsia" w:eastAsia="方正黑体_GBK"/>
          <w:color w:val="000000" w:themeColor="text1"/>
          <w:sz w:val="28"/>
          <w:szCs w:val="30"/>
          <w14:textFill>
            <w14:solidFill>
              <w14:schemeClr w14:val="tx1"/>
            </w14:solidFill>
          </w14:textFill>
        </w:rPr>
        <w:t>“十四五”时期宿迁6大主导产业与3个先导产业空间布局（表十）</w:t>
      </w:r>
    </w:p>
    <w:tbl>
      <w:tblPr>
        <w:tblStyle w:val="25"/>
        <w:tblW w:w="9262" w:type="dxa"/>
        <w:tblInd w:w="0" w:type="dxa"/>
        <w:tblLayout w:type="fixed"/>
        <w:tblCellMar>
          <w:top w:w="0" w:type="dxa"/>
          <w:left w:w="108" w:type="dxa"/>
          <w:bottom w:w="0" w:type="dxa"/>
          <w:right w:w="108" w:type="dxa"/>
        </w:tblCellMar>
      </w:tblPr>
      <w:tblGrid>
        <w:gridCol w:w="1060"/>
        <w:gridCol w:w="1686"/>
        <w:gridCol w:w="6516"/>
      </w:tblGrid>
      <w:tr>
        <w:tblPrEx>
          <w:tblCellMar>
            <w:top w:w="0" w:type="dxa"/>
            <w:left w:w="108" w:type="dxa"/>
            <w:bottom w:w="0" w:type="dxa"/>
            <w:right w:w="108" w:type="dxa"/>
          </w:tblCellMar>
        </w:tblPrEx>
        <w:trPr>
          <w:trHeight w:val="454" w:hRule="atLeast"/>
        </w:trPr>
        <w:tc>
          <w:tcPr>
            <w:tcW w:w="1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eastAsia="方正黑体_GBK" w:cs="宋体"/>
                <w:color w:val="000000" w:themeColor="text1"/>
                <w:kern w:val="0"/>
                <w:szCs w:val="21"/>
                <w14:textFill>
                  <w14:solidFill>
                    <w14:schemeClr w14:val="tx1"/>
                  </w14:solidFill>
                </w14:textFill>
              </w:rPr>
            </w:pPr>
            <w:r>
              <w:rPr>
                <w:rFonts w:hint="eastAsia" w:eastAsia="方正黑体_GBK" w:cs="宋体"/>
                <w:color w:val="000000" w:themeColor="text1"/>
                <w:kern w:val="0"/>
                <w:szCs w:val="21"/>
                <w14:textFill>
                  <w14:solidFill>
                    <w14:schemeClr w14:val="tx1"/>
                  </w14:solidFill>
                </w14:textFill>
              </w:rPr>
              <w:t>产业大类</w:t>
            </w:r>
          </w:p>
        </w:tc>
        <w:tc>
          <w:tcPr>
            <w:tcW w:w="1686" w:type="dxa"/>
            <w:tcBorders>
              <w:top w:val="single" w:color="auto" w:sz="4" w:space="0"/>
              <w:left w:val="nil"/>
              <w:bottom w:val="single" w:color="auto" w:sz="4" w:space="0"/>
              <w:right w:val="single" w:color="auto" w:sz="4" w:space="0"/>
            </w:tcBorders>
            <w:shd w:val="clear" w:color="auto" w:fill="auto"/>
            <w:noWrap/>
            <w:vAlign w:val="center"/>
          </w:tcPr>
          <w:p>
            <w:pPr>
              <w:widowControl/>
              <w:spacing w:line="440" w:lineRule="exact"/>
              <w:jc w:val="center"/>
              <w:rPr>
                <w:rFonts w:eastAsia="方正黑体_GBK" w:cs="宋体"/>
                <w:color w:val="000000" w:themeColor="text1"/>
                <w:kern w:val="0"/>
                <w:szCs w:val="21"/>
                <w14:textFill>
                  <w14:solidFill>
                    <w14:schemeClr w14:val="tx1"/>
                  </w14:solidFill>
                </w14:textFill>
              </w:rPr>
            </w:pPr>
            <w:r>
              <w:rPr>
                <w:rFonts w:hint="eastAsia" w:eastAsia="方正黑体_GBK" w:cs="宋体"/>
                <w:color w:val="000000" w:themeColor="text1"/>
                <w:kern w:val="0"/>
                <w:szCs w:val="21"/>
                <w14:textFill>
                  <w14:solidFill>
                    <w14:schemeClr w14:val="tx1"/>
                  </w14:solidFill>
                </w14:textFill>
              </w:rPr>
              <w:t>产业名称</w:t>
            </w:r>
          </w:p>
        </w:tc>
        <w:tc>
          <w:tcPr>
            <w:tcW w:w="6516" w:type="dxa"/>
            <w:tcBorders>
              <w:top w:val="single" w:color="auto" w:sz="4" w:space="0"/>
              <w:left w:val="nil"/>
              <w:bottom w:val="single" w:color="auto" w:sz="4" w:space="0"/>
              <w:right w:val="single" w:color="auto" w:sz="4" w:space="0"/>
            </w:tcBorders>
            <w:shd w:val="clear" w:color="auto" w:fill="auto"/>
            <w:noWrap/>
            <w:vAlign w:val="center"/>
          </w:tcPr>
          <w:p>
            <w:pPr>
              <w:widowControl/>
              <w:spacing w:line="440" w:lineRule="exact"/>
              <w:jc w:val="center"/>
              <w:rPr>
                <w:rFonts w:eastAsia="方正黑体_GBK" w:cs="宋体"/>
                <w:color w:val="000000" w:themeColor="text1"/>
                <w:kern w:val="0"/>
                <w:szCs w:val="21"/>
                <w14:textFill>
                  <w14:solidFill>
                    <w14:schemeClr w14:val="tx1"/>
                  </w14:solidFill>
                </w14:textFill>
              </w:rPr>
            </w:pPr>
            <w:r>
              <w:rPr>
                <w:rFonts w:hint="eastAsia" w:eastAsia="方正黑体_GBK" w:cs="宋体"/>
                <w:color w:val="000000" w:themeColor="text1"/>
                <w:kern w:val="0"/>
                <w:szCs w:val="21"/>
                <w14:textFill>
                  <w14:solidFill>
                    <w14:schemeClr w14:val="tx1"/>
                  </w14:solidFill>
                </w14:textFill>
              </w:rPr>
              <w:t>重点依托县（区、园区）</w:t>
            </w:r>
          </w:p>
        </w:tc>
      </w:tr>
      <w:tr>
        <w:tblPrEx>
          <w:tblCellMar>
            <w:top w:w="0" w:type="dxa"/>
            <w:left w:w="108" w:type="dxa"/>
            <w:bottom w:w="0" w:type="dxa"/>
            <w:right w:w="108" w:type="dxa"/>
          </w:tblCellMar>
        </w:tblPrEx>
        <w:trPr>
          <w:trHeight w:val="383" w:hRule="atLeast"/>
        </w:trPr>
        <w:tc>
          <w:tcPr>
            <w:tcW w:w="106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440" w:lineRule="exact"/>
              <w:jc w:val="center"/>
              <w:rPr>
                <w:rFonts w:cs="宋体"/>
                <w:b/>
                <w:color w:val="000000" w:themeColor="text1"/>
                <w:kern w:val="0"/>
                <w:szCs w:val="21"/>
                <w14:textFill>
                  <w14:solidFill>
                    <w14:schemeClr w14:val="tx1"/>
                  </w14:solidFill>
                </w14:textFill>
              </w:rPr>
            </w:pPr>
            <w:r>
              <w:rPr>
                <w:rFonts w:hint="eastAsia" w:cs="宋体"/>
                <w:b/>
                <w:color w:val="000000" w:themeColor="text1"/>
                <w:kern w:val="0"/>
                <w:szCs w:val="21"/>
                <w14:textFill>
                  <w14:solidFill>
                    <w14:schemeClr w14:val="tx1"/>
                  </w14:solidFill>
                </w14:textFill>
              </w:rPr>
              <w:t>主导产业</w:t>
            </w:r>
          </w:p>
        </w:tc>
        <w:tc>
          <w:tcPr>
            <w:tcW w:w="1686" w:type="dxa"/>
            <w:tcBorders>
              <w:top w:val="nil"/>
              <w:left w:val="nil"/>
              <w:bottom w:val="single" w:color="auto" w:sz="4" w:space="0"/>
              <w:right w:val="single" w:color="auto" w:sz="4" w:space="0"/>
            </w:tcBorders>
            <w:shd w:val="clear" w:color="auto" w:fill="auto"/>
            <w:vAlign w:val="center"/>
          </w:tcPr>
          <w:p>
            <w:pPr>
              <w:widowControl/>
              <w:spacing w:line="440" w:lineRule="exact"/>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机电装备</w:t>
            </w:r>
          </w:p>
        </w:tc>
        <w:tc>
          <w:tcPr>
            <w:tcW w:w="6516" w:type="dxa"/>
            <w:tcBorders>
              <w:top w:val="nil"/>
              <w:left w:val="nil"/>
              <w:bottom w:val="single" w:color="auto" w:sz="4" w:space="0"/>
              <w:right w:val="single" w:color="auto" w:sz="4" w:space="0"/>
            </w:tcBorders>
            <w:shd w:val="clear" w:color="auto" w:fill="auto"/>
            <w:noWrap/>
            <w:vAlign w:val="center"/>
          </w:tcPr>
          <w:p>
            <w:pPr>
              <w:widowControl/>
              <w:spacing w:line="440" w:lineRule="exact"/>
              <w:jc w:val="left"/>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沭阳县、泗洪县、宿豫区、宿城区、宿迁经开区</w:t>
            </w:r>
          </w:p>
        </w:tc>
      </w:tr>
      <w:tr>
        <w:tblPrEx>
          <w:tblCellMar>
            <w:top w:w="0" w:type="dxa"/>
            <w:left w:w="108" w:type="dxa"/>
            <w:bottom w:w="0" w:type="dxa"/>
            <w:right w:w="108" w:type="dxa"/>
          </w:tblCellMar>
        </w:tblPrEx>
        <w:trPr>
          <w:trHeight w:val="454" w:hRule="atLeast"/>
        </w:trPr>
        <w:tc>
          <w:tcPr>
            <w:tcW w:w="1060" w:type="dxa"/>
            <w:vMerge w:val="continue"/>
            <w:tcBorders>
              <w:top w:val="nil"/>
              <w:left w:val="single" w:color="auto" w:sz="4" w:space="0"/>
              <w:bottom w:val="single" w:color="auto" w:sz="4" w:space="0"/>
              <w:right w:val="single" w:color="auto" w:sz="4" w:space="0"/>
            </w:tcBorders>
            <w:vAlign w:val="center"/>
          </w:tcPr>
          <w:p>
            <w:pPr>
              <w:widowControl/>
              <w:spacing w:line="440" w:lineRule="exact"/>
              <w:jc w:val="center"/>
              <w:rPr>
                <w:rFonts w:cs="宋体"/>
                <w:b/>
                <w:color w:val="000000" w:themeColor="text1"/>
                <w:kern w:val="0"/>
                <w:szCs w:val="21"/>
                <w14:textFill>
                  <w14:solidFill>
                    <w14:schemeClr w14:val="tx1"/>
                  </w14:solidFill>
                </w14:textFill>
              </w:rPr>
            </w:pPr>
          </w:p>
        </w:tc>
        <w:tc>
          <w:tcPr>
            <w:tcW w:w="1686" w:type="dxa"/>
            <w:tcBorders>
              <w:top w:val="nil"/>
              <w:left w:val="nil"/>
              <w:bottom w:val="single" w:color="auto" w:sz="4" w:space="0"/>
              <w:right w:val="single" w:color="auto" w:sz="4" w:space="0"/>
            </w:tcBorders>
            <w:shd w:val="clear" w:color="auto" w:fill="auto"/>
            <w:vAlign w:val="center"/>
          </w:tcPr>
          <w:p>
            <w:pPr>
              <w:widowControl/>
              <w:spacing w:line="440" w:lineRule="exact"/>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绿色食品</w:t>
            </w:r>
          </w:p>
        </w:tc>
        <w:tc>
          <w:tcPr>
            <w:tcW w:w="6516" w:type="dxa"/>
            <w:tcBorders>
              <w:top w:val="nil"/>
              <w:left w:val="nil"/>
              <w:bottom w:val="single" w:color="auto" w:sz="4" w:space="0"/>
              <w:right w:val="single" w:color="auto" w:sz="4" w:space="0"/>
            </w:tcBorders>
            <w:shd w:val="clear" w:color="auto" w:fill="auto"/>
            <w:noWrap/>
            <w:vAlign w:val="center"/>
          </w:tcPr>
          <w:p>
            <w:pPr>
              <w:widowControl/>
              <w:spacing w:line="440" w:lineRule="exact"/>
              <w:jc w:val="left"/>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市洋河新区、宿迁经开区、泗洪县、泗阳县、宿豫区、宿城区</w:t>
            </w:r>
          </w:p>
        </w:tc>
      </w:tr>
      <w:tr>
        <w:tblPrEx>
          <w:tblCellMar>
            <w:top w:w="0" w:type="dxa"/>
            <w:left w:w="108" w:type="dxa"/>
            <w:bottom w:w="0" w:type="dxa"/>
            <w:right w:w="108" w:type="dxa"/>
          </w:tblCellMar>
        </w:tblPrEx>
        <w:trPr>
          <w:trHeight w:val="454" w:hRule="atLeast"/>
        </w:trPr>
        <w:tc>
          <w:tcPr>
            <w:tcW w:w="1060" w:type="dxa"/>
            <w:vMerge w:val="continue"/>
            <w:tcBorders>
              <w:top w:val="nil"/>
              <w:left w:val="single" w:color="auto" w:sz="4" w:space="0"/>
              <w:bottom w:val="single" w:color="auto" w:sz="4" w:space="0"/>
              <w:right w:val="single" w:color="auto" w:sz="4" w:space="0"/>
            </w:tcBorders>
            <w:vAlign w:val="center"/>
          </w:tcPr>
          <w:p>
            <w:pPr>
              <w:widowControl/>
              <w:spacing w:line="440" w:lineRule="exact"/>
              <w:jc w:val="center"/>
              <w:rPr>
                <w:rFonts w:cs="宋体"/>
                <w:b/>
                <w:color w:val="000000" w:themeColor="text1"/>
                <w:kern w:val="0"/>
                <w:szCs w:val="21"/>
                <w14:textFill>
                  <w14:solidFill>
                    <w14:schemeClr w14:val="tx1"/>
                  </w14:solidFill>
                </w14:textFill>
              </w:rPr>
            </w:pPr>
          </w:p>
        </w:tc>
        <w:tc>
          <w:tcPr>
            <w:tcW w:w="1686" w:type="dxa"/>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高端纺织</w:t>
            </w:r>
          </w:p>
        </w:tc>
        <w:tc>
          <w:tcPr>
            <w:tcW w:w="6516" w:type="dxa"/>
            <w:tcBorders>
              <w:top w:val="nil"/>
              <w:left w:val="nil"/>
              <w:bottom w:val="single" w:color="auto" w:sz="4" w:space="0"/>
              <w:right w:val="single" w:color="auto" w:sz="4" w:space="0"/>
            </w:tcBorders>
            <w:shd w:val="clear" w:color="auto" w:fill="auto"/>
            <w:noWrap/>
            <w:vAlign w:val="center"/>
          </w:tcPr>
          <w:p>
            <w:pPr>
              <w:widowControl/>
              <w:spacing w:line="440" w:lineRule="exact"/>
              <w:jc w:val="left"/>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沭阳县、泗阳县、宿豫区、宿城区</w:t>
            </w:r>
          </w:p>
        </w:tc>
      </w:tr>
      <w:tr>
        <w:tblPrEx>
          <w:tblCellMar>
            <w:top w:w="0" w:type="dxa"/>
            <w:left w:w="108" w:type="dxa"/>
            <w:bottom w:w="0" w:type="dxa"/>
            <w:right w:w="108" w:type="dxa"/>
          </w:tblCellMar>
        </w:tblPrEx>
        <w:trPr>
          <w:trHeight w:val="454" w:hRule="atLeast"/>
        </w:trPr>
        <w:tc>
          <w:tcPr>
            <w:tcW w:w="1060" w:type="dxa"/>
            <w:vMerge w:val="continue"/>
            <w:tcBorders>
              <w:top w:val="nil"/>
              <w:left w:val="single" w:color="auto" w:sz="4" w:space="0"/>
              <w:bottom w:val="single" w:color="auto" w:sz="4" w:space="0"/>
              <w:right w:val="single" w:color="auto" w:sz="4" w:space="0"/>
            </w:tcBorders>
            <w:vAlign w:val="center"/>
          </w:tcPr>
          <w:p>
            <w:pPr>
              <w:widowControl/>
              <w:spacing w:line="440" w:lineRule="exact"/>
              <w:jc w:val="center"/>
              <w:rPr>
                <w:rFonts w:cs="宋体"/>
                <w:b/>
                <w:color w:val="000000" w:themeColor="text1"/>
                <w:kern w:val="0"/>
                <w:szCs w:val="21"/>
                <w14:textFill>
                  <w14:solidFill>
                    <w14:schemeClr w14:val="tx1"/>
                  </w14:solidFill>
                </w14:textFill>
              </w:rPr>
            </w:pPr>
          </w:p>
        </w:tc>
        <w:tc>
          <w:tcPr>
            <w:tcW w:w="1686" w:type="dxa"/>
            <w:tcBorders>
              <w:top w:val="nil"/>
              <w:left w:val="nil"/>
              <w:bottom w:val="single" w:color="auto" w:sz="4" w:space="0"/>
              <w:right w:val="single" w:color="auto" w:sz="4" w:space="0"/>
            </w:tcBorders>
            <w:shd w:val="clear" w:color="auto" w:fill="auto"/>
            <w:vAlign w:val="center"/>
          </w:tcPr>
          <w:p>
            <w:pPr>
              <w:widowControl/>
              <w:spacing w:line="440" w:lineRule="exact"/>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光伏新能源</w:t>
            </w:r>
          </w:p>
        </w:tc>
        <w:tc>
          <w:tcPr>
            <w:tcW w:w="6516" w:type="dxa"/>
            <w:tcBorders>
              <w:top w:val="nil"/>
              <w:left w:val="nil"/>
              <w:bottom w:val="single" w:color="auto" w:sz="4" w:space="0"/>
              <w:right w:val="single" w:color="auto" w:sz="4" w:space="0"/>
            </w:tcBorders>
            <w:shd w:val="clear" w:color="auto" w:fill="auto"/>
            <w:noWrap/>
            <w:vAlign w:val="center"/>
          </w:tcPr>
          <w:p>
            <w:pPr>
              <w:widowControl/>
              <w:spacing w:line="440" w:lineRule="exact"/>
              <w:jc w:val="left"/>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宿迁经开区、泗洪县</w:t>
            </w:r>
          </w:p>
        </w:tc>
      </w:tr>
      <w:tr>
        <w:tblPrEx>
          <w:tblCellMar>
            <w:top w:w="0" w:type="dxa"/>
            <w:left w:w="108" w:type="dxa"/>
            <w:bottom w:w="0" w:type="dxa"/>
            <w:right w:w="108" w:type="dxa"/>
          </w:tblCellMar>
        </w:tblPrEx>
        <w:trPr>
          <w:trHeight w:val="454" w:hRule="atLeast"/>
        </w:trPr>
        <w:tc>
          <w:tcPr>
            <w:tcW w:w="1060" w:type="dxa"/>
            <w:vMerge w:val="continue"/>
            <w:tcBorders>
              <w:top w:val="nil"/>
              <w:left w:val="single" w:color="auto" w:sz="4" w:space="0"/>
              <w:bottom w:val="single" w:color="auto" w:sz="4" w:space="0"/>
              <w:right w:val="single" w:color="auto" w:sz="4" w:space="0"/>
            </w:tcBorders>
            <w:vAlign w:val="center"/>
          </w:tcPr>
          <w:p>
            <w:pPr>
              <w:widowControl/>
              <w:spacing w:line="440" w:lineRule="exact"/>
              <w:jc w:val="center"/>
              <w:rPr>
                <w:rFonts w:cs="宋体"/>
                <w:b/>
                <w:color w:val="000000" w:themeColor="text1"/>
                <w:kern w:val="0"/>
                <w:szCs w:val="21"/>
                <w14:textFill>
                  <w14:solidFill>
                    <w14:schemeClr w14:val="tx1"/>
                  </w14:solidFill>
                </w14:textFill>
              </w:rPr>
            </w:pPr>
          </w:p>
        </w:tc>
        <w:tc>
          <w:tcPr>
            <w:tcW w:w="1686" w:type="dxa"/>
            <w:tcBorders>
              <w:top w:val="nil"/>
              <w:left w:val="nil"/>
              <w:bottom w:val="single" w:color="auto" w:sz="4" w:space="0"/>
              <w:right w:val="single" w:color="auto" w:sz="4" w:space="0"/>
            </w:tcBorders>
            <w:shd w:val="clear" w:color="auto" w:fill="auto"/>
            <w:vAlign w:val="center"/>
          </w:tcPr>
          <w:p>
            <w:pPr>
              <w:widowControl/>
              <w:spacing w:line="440" w:lineRule="exact"/>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绿色家居</w:t>
            </w:r>
          </w:p>
        </w:tc>
        <w:tc>
          <w:tcPr>
            <w:tcW w:w="6516" w:type="dxa"/>
            <w:tcBorders>
              <w:top w:val="nil"/>
              <w:left w:val="nil"/>
              <w:bottom w:val="single" w:color="auto" w:sz="4" w:space="0"/>
              <w:right w:val="single" w:color="auto" w:sz="4" w:space="0"/>
            </w:tcBorders>
            <w:shd w:val="clear" w:color="auto" w:fill="auto"/>
            <w:noWrap/>
            <w:vAlign w:val="center"/>
          </w:tcPr>
          <w:p>
            <w:pPr>
              <w:widowControl/>
              <w:spacing w:line="440" w:lineRule="exact"/>
              <w:jc w:val="left"/>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沭阳县、泗阳县、宿城区</w:t>
            </w:r>
          </w:p>
        </w:tc>
      </w:tr>
      <w:tr>
        <w:tblPrEx>
          <w:tblCellMar>
            <w:top w:w="0" w:type="dxa"/>
            <w:left w:w="108" w:type="dxa"/>
            <w:bottom w:w="0" w:type="dxa"/>
            <w:right w:w="108" w:type="dxa"/>
          </w:tblCellMar>
        </w:tblPrEx>
        <w:trPr>
          <w:trHeight w:val="454" w:hRule="atLeast"/>
        </w:trPr>
        <w:tc>
          <w:tcPr>
            <w:tcW w:w="1060" w:type="dxa"/>
            <w:vMerge w:val="continue"/>
            <w:tcBorders>
              <w:top w:val="nil"/>
              <w:left w:val="single" w:color="auto" w:sz="4" w:space="0"/>
              <w:bottom w:val="single" w:color="auto" w:sz="4" w:space="0"/>
              <w:right w:val="single" w:color="auto" w:sz="4" w:space="0"/>
            </w:tcBorders>
            <w:vAlign w:val="center"/>
          </w:tcPr>
          <w:p>
            <w:pPr>
              <w:widowControl/>
              <w:spacing w:line="440" w:lineRule="exact"/>
              <w:jc w:val="center"/>
              <w:rPr>
                <w:rFonts w:cs="宋体"/>
                <w:b/>
                <w:color w:val="000000" w:themeColor="text1"/>
                <w:kern w:val="0"/>
                <w:szCs w:val="21"/>
                <w14:textFill>
                  <w14:solidFill>
                    <w14:schemeClr w14:val="tx1"/>
                  </w14:solidFill>
                </w14:textFill>
              </w:rPr>
            </w:pPr>
          </w:p>
        </w:tc>
        <w:tc>
          <w:tcPr>
            <w:tcW w:w="1686" w:type="dxa"/>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新材料</w:t>
            </w:r>
          </w:p>
        </w:tc>
        <w:tc>
          <w:tcPr>
            <w:tcW w:w="6516" w:type="dxa"/>
            <w:tcBorders>
              <w:top w:val="nil"/>
              <w:left w:val="nil"/>
              <w:bottom w:val="single" w:color="auto" w:sz="4" w:space="0"/>
              <w:right w:val="single" w:color="auto" w:sz="4" w:space="0"/>
            </w:tcBorders>
            <w:shd w:val="clear" w:color="auto" w:fill="auto"/>
            <w:noWrap/>
            <w:vAlign w:val="center"/>
          </w:tcPr>
          <w:p>
            <w:pPr>
              <w:widowControl/>
              <w:spacing w:line="440" w:lineRule="exact"/>
              <w:jc w:val="left"/>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市湖滨新区、宿豫区、沭阳县、泗阳县、泗洪县</w:t>
            </w:r>
          </w:p>
        </w:tc>
      </w:tr>
      <w:tr>
        <w:tblPrEx>
          <w:tblCellMar>
            <w:top w:w="0" w:type="dxa"/>
            <w:left w:w="108" w:type="dxa"/>
            <w:bottom w:w="0" w:type="dxa"/>
            <w:right w:w="108" w:type="dxa"/>
          </w:tblCellMar>
        </w:tblPrEx>
        <w:trPr>
          <w:trHeight w:val="454" w:hRule="atLeast"/>
        </w:trPr>
        <w:tc>
          <w:tcPr>
            <w:tcW w:w="106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440" w:lineRule="exact"/>
              <w:jc w:val="center"/>
              <w:rPr>
                <w:rFonts w:cs="宋体"/>
                <w:b/>
                <w:color w:val="000000" w:themeColor="text1"/>
                <w:kern w:val="0"/>
                <w:szCs w:val="21"/>
                <w14:textFill>
                  <w14:solidFill>
                    <w14:schemeClr w14:val="tx1"/>
                  </w14:solidFill>
                </w14:textFill>
              </w:rPr>
            </w:pPr>
            <w:r>
              <w:rPr>
                <w:rFonts w:hint="eastAsia" w:cs="宋体"/>
                <w:b/>
                <w:color w:val="000000" w:themeColor="text1"/>
                <w:kern w:val="0"/>
                <w:szCs w:val="21"/>
                <w14:textFill>
                  <w14:solidFill>
                    <w14:schemeClr w14:val="tx1"/>
                  </w14:solidFill>
                </w14:textFill>
              </w:rPr>
              <w:t>先导产业</w:t>
            </w:r>
          </w:p>
        </w:tc>
        <w:tc>
          <w:tcPr>
            <w:tcW w:w="1686" w:type="dxa"/>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新一代信息技术</w:t>
            </w:r>
          </w:p>
        </w:tc>
        <w:tc>
          <w:tcPr>
            <w:tcW w:w="6516" w:type="dxa"/>
            <w:tcBorders>
              <w:top w:val="nil"/>
              <w:left w:val="nil"/>
              <w:bottom w:val="single" w:color="auto" w:sz="4" w:space="0"/>
              <w:right w:val="single" w:color="auto" w:sz="4" w:space="0"/>
            </w:tcBorders>
            <w:shd w:val="clear" w:color="auto" w:fill="auto"/>
            <w:noWrap/>
            <w:vAlign w:val="center"/>
          </w:tcPr>
          <w:p>
            <w:pPr>
              <w:widowControl/>
              <w:spacing w:line="440" w:lineRule="exact"/>
              <w:jc w:val="left"/>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沭阳县、泗阳县、泗洪县、宿豫区、宿城区、苏宿工业园区、泗阳县</w:t>
            </w:r>
          </w:p>
        </w:tc>
      </w:tr>
      <w:tr>
        <w:tblPrEx>
          <w:tblCellMar>
            <w:top w:w="0" w:type="dxa"/>
            <w:left w:w="108" w:type="dxa"/>
            <w:bottom w:w="0" w:type="dxa"/>
            <w:right w:w="108" w:type="dxa"/>
          </w:tblCellMar>
        </w:tblPrEx>
        <w:trPr>
          <w:trHeight w:val="454" w:hRule="atLeast"/>
        </w:trPr>
        <w:tc>
          <w:tcPr>
            <w:tcW w:w="1060" w:type="dxa"/>
            <w:vMerge w:val="continue"/>
            <w:tcBorders>
              <w:top w:val="nil"/>
              <w:left w:val="single" w:color="auto" w:sz="4" w:space="0"/>
              <w:bottom w:val="single" w:color="auto" w:sz="4" w:space="0"/>
              <w:right w:val="single" w:color="auto" w:sz="4" w:space="0"/>
            </w:tcBorders>
            <w:vAlign w:val="center"/>
          </w:tcPr>
          <w:p>
            <w:pPr>
              <w:widowControl/>
              <w:spacing w:line="440" w:lineRule="exact"/>
              <w:jc w:val="center"/>
              <w:rPr>
                <w:rFonts w:cs="宋体"/>
                <w:color w:val="000000" w:themeColor="text1"/>
                <w:kern w:val="0"/>
                <w:szCs w:val="21"/>
                <w14:textFill>
                  <w14:solidFill>
                    <w14:schemeClr w14:val="tx1"/>
                  </w14:solidFill>
                </w14:textFill>
              </w:rPr>
            </w:pPr>
          </w:p>
        </w:tc>
        <w:tc>
          <w:tcPr>
            <w:tcW w:w="1686" w:type="dxa"/>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生物医药</w:t>
            </w:r>
          </w:p>
        </w:tc>
        <w:tc>
          <w:tcPr>
            <w:tcW w:w="6516" w:type="dxa"/>
            <w:tcBorders>
              <w:top w:val="nil"/>
              <w:left w:val="nil"/>
              <w:bottom w:val="single" w:color="auto" w:sz="4" w:space="0"/>
              <w:right w:val="single" w:color="auto" w:sz="4" w:space="0"/>
            </w:tcBorders>
            <w:shd w:val="clear" w:color="auto" w:fill="auto"/>
            <w:noWrap/>
            <w:vAlign w:val="center"/>
          </w:tcPr>
          <w:p>
            <w:pPr>
              <w:widowControl/>
              <w:spacing w:line="440" w:lineRule="exact"/>
              <w:jc w:val="left"/>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沭阳县、泗阳县、宿豫区、宿城区、市洋河新区</w:t>
            </w:r>
          </w:p>
        </w:tc>
      </w:tr>
      <w:tr>
        <w:tblPrEx>
          <w:tblCellMar>
            <w:top w:w="0" w:type="dxa"/>
            <w:left w:w="108" w:type="dxa"/>
            <w:bottom w:w="0" w:type="dxa"/>
            <w:right w:w="108" w:type="dxa"/>
          </w:tblCellMar>
        </w:tblPrEx>
        <w:trPr>
          <w:trHeight w:val="454" w:hRule="atLeast"/>
        </w:trPr>
        <w:tc>
          <w:tcPr>
            <w:tcW w:w="1060" w:type="dxa"/>
            <w:vMerge w:val="continue"/>
            <w:tcBorders>
              <w:top w:val="nil"/>
              <w:left w:val="single" w:color="auto" w:sz="4" w:space="0"/>
              <w:bottom w:val="single" w:color="auto" w:sz="4" w:space="0"/>
              <w:right w:val="single" w:color="auto" w:sz="4" w:space="0"/>
            </w:tcBorders>
            <w:vAlign w:val="center"/>
          </w:tcPr>
          <w:p>
            <w:pPr>
              <w:widowControl/>
              <w:spacing w:line="440" w:lineRule="exact"/>
              <w:jc w:val="center"/>
              <w:rPr>
                <w:rFonts w:cs="宋体"/>
                <w:color w:val="000000" w:themeColor="text1"/>
                <w:kern w:val="0"/>
                <w:szCs w:val="21"/>
                <w14:textFill>
                  <w14:solidFill>
                    <w14:schemeClr w14:val="tx1"/>
                  </w14:solidFill>
                </w14:textFill>
              </w:rPr>
            </w:pPr>
          </w:p>
        </w:tc>
        <w:tc>
          <w:tcPr>
            <w:tcW w:w="1686" w:type="dxa"/>
            <w:tcBorders>
              <w:top w:val="nil"/>
              <w:left w:val="nil"/>
              <w:bottom w:val="single" w:color="auto" w:sz="4" w:space="0"/>
              <w:right w:val="single" w:color="auto" w:sz="4" w:space="0"/>
            </w:tcBorders>
            <w:shd w:val="clear" w:color="auto" w:fill="auto"/>
            <w:noWrap/>
            <w:vAlign w:val="center"/>
          </w:tcPr>
          <w:p>
            <w:pPr>
              <w:widowControl/>
              <w:spacing w:line="440" w:lineRule="exact"/>
              <w:jc w:val="center"/>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数字经济</w:t>
            </w:r>
          </w:p>
        </w:tc>
        <w:tc>
          <w:tcPr>
            <w:tcW w:w="6516" w:type="dxa"/>
            <w:tcBorders>
              <w:top w:val="nil"/>
              <w:left w:val="nil"/>
              <w:bottom w:val="single" w:color="auto" w:sz="4" w:space="0"/>
              <w:right w:val="single" w:color="auto" w:sz="4" w:space="0"/>
            </w:tcBorders>
            <w:shd w:val="clear" w:color="auto" w:fill="auto"/>
            <w:noWrap/>
            <w:vAlign w:val="center"/>
          </w:tcPr>
          <w:p>
            <w:pPr>
              <w:widowControl/>
              <w:spacing w:line="440" w:lineRule="exact"/>
              <w:jc w:val="left"/>
              <w:rPr>
                <w:rFonts w:cs="宋体"/>
                <w:color w:val="000000" w:themeColor="text1"/>
                <w:kern w:val="0"/>
                <w:szCs w:val="21"/>
                <w14:textFill>
                  <w14:solidFill>
                    <w14:schemeClr w14:val="tx1"/>
                  </w14:solidFill>
                </w14:textFill>
              </w:rPr>
            </w:pPr>
            <w:r>
              <w:rPr>
                <w:rFonts w:hint="eastAsia" w:cs="宋体"/>
                <w:color w:val="000000" w:themeColor="text1"/>
                <w:kern w:val="0"/>
                <w:szCs w:val="21"/>
                <w14:textFill>
                  <w14:solidFill>
                    <w14:schemeClr w14:val="tx1"/>
                  </w14:solidFill>
                </w14:textFill>
              </w:rPr>
              <w:t>宿豫区、市湖滨新区</w:t>
            </w:r>
          </w:p>
        </w:tc>
      </w:tr>
    </w:tbl>
    <w:p>
      <w:pPr>
        <w:spacing w:line="580" w:lineRule="exact"/>
        <w:rPr>
          <w:rFonts w:eastAsia="方正楷体_GBK"/>
          <w:b/>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26" w:name="_Toc75019413"/>
      <w:bookmarkStart w:id="27" w:name="_Toc13678"/>
      <w:r>
        <w:rPr>
          <w:rFonts w:hint="eastAsia" w:ascii="Times New Roman" w:hAnsi="Times New Roman" w:eastAsia="方正楷体_GBK"/>
          <w:b w:val="0"/>
          <w:color w:val="000000" w:themeColor="text1"/>
          <w14:textFill>
            <w14:solidFill>
              <w14:schemeClr w14:val="tx1"/>
            </w14:solidFill>
          </w14:textFill>
        </w:rPr>
        <w:t>第一节  主导产业重点方向</w:t>
      </w:r>
      <w:bookmarkEnd w:id="26"/>
      <w:bookmarkEnd w:id="27"/>
    </w:p>
    <w:p>
      <w:pPr>
        <w:spacing w:line="580" w:lineRule="exact"/>
        <w:rPr>
          <w:rFonts w:eastAsia="方正楷体_GBK"/>
          <w:b/>
          <w:color w:val="000000" w:themeColor="text1"/>
          <w:sz w:val="32"/>
          <w:szCs w:val="32"/>
          <w14:textFill>
            <w14:solidFill>
              <w14:schemeClr w14:val="tx1"/>
            </w14:solidFill>
          </w14:textFill>
        </w:rPr>
      </w:pP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聚焦机电装备、绿色食品、高端纺织、光伏新能源、绿色家居、新材料6大主导产业，依托现有产业基础，通过项目引培、研发创新、技术改造，进一步完善产业链条、提升产业链水平、强化产业优势，加快推动产业跃迁更高发展能级，力争到2025年，主导产业规模达6000亿元，占工业经济总量比重接近90%。</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一、机电装备产业</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依托沭阳县、泗洪县、宿豫区、宿城区、宿迁经开区等重点地区，重点发展新型电池、装备制造、汽车及零部件、智能家电、激光装备等5个细分产业，力争到2025年产业规模突破1000亿元，力争建成全国一流的机电装备产业发展示范区。</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1</w:t>
      </w:r>
      <w:r>
        <w:rPr>
          <w:rFonts w:hint="eastAsia" w:eastAsia="方正楷体_GBK"/>
          <w:color w:val="000000" w:themeColor="text1"/>
          <w:sz w:val="32"/>
          <w:szCs w:val="32"/>
          <w14:textFill>
            <w14:solidFill>
              <w14:schemeClr w14:val="tx1"/>
            </w14:solidFill>
          </w14:textFill>
        </w:rPr>
        <w:t>．新型电池</w:t>
      </w:r>
      <w:r>
        <w:rPr>
          <w:rFonts w:hint="eastAsia"/>
          <w:color w:val="000000" w:themeColor="text1"/>
          <w:sz w:val="32"/>
          <w:szCs w:val="32"/>
          <w14:textFill>
            <w14:solidFill>
              <w14:schemeClr w14:val="tx1"/>
            </w14:solidFill>
          </w14:textFill>
        </w:rPr>
        <w:t>。重点依托沭阳县、泗洪县、宿豫区、宿迁经开区，重点发展动力电池、储能电池等产品，探索发展配套前沿电池材料，力争到2025年产业规模突破400亿元，建成自主创新能力强、产业链条基本完整、协同发展水平高的新型电池产业基地。其中，</w:t>
      </w:r>
      <w:r>
        <w:rPr>
          <w:rFonts w:hint="eastAsia" w:eastAsia="方正黑体_GBK"/>
          <w:color w:val="000000" w:themeColor="text1"/>
          <w:sz w:val="32"/>
          <w:szCs w:val="32"/>
          <w14:textFill>
            <w14:solidFill>
              <w14:schemeClr w14:val="tx1"/>
            </w14:solidFill>
          </w14:textFill>
        </w:rPr>
        <w:t>动力电池领域</w:t>
      </w:r>
      <w:r>
        <w:rPr>
          <w:rFonts w:hint="eastAsia"/>
          <w:color w:val="000000" w:themeColor="text1"/>
          <w:sz w:val="32"/>
          <w:szCs w:val="32"/>
          <w14:textFill>
            <w14:solidFill>
              <w14:schemeClr w14:val="tx1"/>
            </w14:solidFill>
          </w14:textFill>
        </w:rPr>
        <w:t>，围绕新能源汽车、电动自行车、工程机械、特种车辆等发展需求，积极招引培育动力锂电池正负极、隔膜、电解质、电池管理系统（BMS）等方面的研发和产业化项目，推动构建动力锂电池产业链；积极探索发展氢燃料电池，大力招引支持电堆、膜电极、质子交换膜、碳纸、催化剂、双极板、氢气循环系统、空气压缩机等关键核心技术的研发和产业化项目。</w:t>
      </w:r>
      <w:r>
        <w:rPr>
          <w:rFonts w:hint="eastAsia" w:eastAsia="方正黑体_GBK"/>
          <w:color w:val="000000" w:themeColor="text1"/>
          <w:sz w:val="32"/>
          <w:szCs w:val="32"/>
          <w14:textFill>
            <w14:solidFill>
              <w14:schemeClr w14:val="tx1"/>
            </w14:solidFill>
          </w14:textFill>
        </w:rPr>
        <w:t>储能电池领域</w:t>
      </w:r>
      <w:r>
        <w:rPr>
          <w:rFonts w:hint="eastAsia"/>
          <w:color w:val="000000" w:themeColor="text1"/>
          <w:sz w:val="32"/>
          <w:szCs w:val="32"/>
          <w14:textFill>
            <w14:solidFill>
              <w14:schemeClr w14:val="tx1"/>
            </w14:solidFill>
          </w14:textFill>
        </w:rPr>
        <w:t>，重点开发高稳定性、高能效、绿色化、智能化的新一代铅蓄电池产品；鼓励有条件的企业紧跟微电网储能、多能互补微网系统等新型节能系统的发展趋势，积极研发基于锂、镍、钴、石墨等新型原材料的储能电池，以及配套的智能化储能管理系统，大力支持储能电池产品在汽车、航空航天、海工船舶、军工等领域的应用。</w:t>
      </w:r>
      <w:r>
        <w:rPr>
          <w:rFonts w:hint="eastAsia" w:eastAsia="方正黑体_GBK"/>
          <w:color w:val="000000" w:themeColor="text1"/>
          <w:sz w:val="32"/>
          <w:szCs w:val="32"/>
          <w14:textFill>
            <w14:solidFill>
              <w14:schemeClr w14:val="tx1"/>
            </w14:solidFill>
          </w14:textFill>
        </w:rPr>
        <w:t>前沿电池材料领域</w:t>
      </w:r>
      <w:r>
        <w:rPr>
          <w:rFonts w:hint="eastAsia"/>
          <w:color w:val="000000" w:themeColor="text1"/>
          <w:sz w:val="32"/>
          <w:szCs w:val="32"/>
          <w14:textFill>
            <w14:solidFill>
              <w14:schemeClr w14:val="tx1"/>
            </w14:solidFill>
          </w14:textFill>
        </w:rPr>
        <w:t>，重点招引培育全固态电解质、三元正极、高容量硅碳负极、高电压高容量富锂材料、高电压耐受电解液、耐高温隔膜等新材料的研发和产业化项目。</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2</w:t>
      </w:r>
      <w:r>
        <w:rPr>
          <w:rFonts w:hint="eastAsia" w:eastAsia="方正楷体_GBK"/>
          <w:color w:val="000000" w:themeColor="text1"/>
          <w:sz w:val="32"/>
          <w:szCs w:val="32"/>
          <w14:textFill>
            <w14:solidFill>
              <w14:schemeClr w14:val="tx1"/>
            </w14:solidFill>
          </w14:textFill>
        </w:rPr>
        <w:t>．装备制造</w:t>
      </w:r>
      <w:r>
        <w:rPr>
          <w:rFonts w:hint="eastAsia"/>
          <w:color w:val="000000" w:themeColor="text1"/>
          <w:sz w:val="32"/>
          <w:szCs w:val="32"/>
          <w14:textFill>
            <w14:solidFill>
              <w14:schemeClr w14:val="tx1"/>
            </w14:solidFill>
          </w14:textFill>
        </w:rPr>
        <w:t>。重点依托沭阳县、泗洪县、宿豫区，以“高端化、智能化、特色化”为导向，围绕“新基建”、国家重大工程建设、企业智能化改造等方面需求，发展半固态成形制造、高端专用装备、智能成套装备、高端数控机床等特色产品，力争到2025年，产业规模突破150亿元。其中，</w:t>
      </w:r>
      <w:r>
        <w:rPr>
          <w:rFonts w:hint="eastAsia" w:eastAsia="方正黑体_GBK"/>
          <w:color w:val="000000" w:themeColor="text1"/>
          <w:sz w:val="32"/>
          <w:szCs w:val="32"/>
          <w14:textFill>
            <w14:solidFill>
              <w14:schemeClr w14:val="tx1"/>
            </w14:solidFill>
          </w14:textFill>
        </w:rPr>
        <w:t>半固态成形制造领域</w:t>
      </w:r>
      <w:r>
        <w:rPr>
          <w:rFonts w:hint="eastAsia"/>
          <w:color w:val="000000" w:themeColor="text1"/>
          <w:sz w:val="32"/>
          <w:szCs w:val="32"/>
          <w14:textFill>
            <w14:solidFill>
              <w14:schemeClr w14:val="tx1"/>
            </w14:solidFill>
          </w14:textFill>
        </w:rPr>
        <w:t>，以沭阳半固态成形产业园为重点，以全球领先、全国唯一的半固态精密成形技术和成套装备为核心，围绕打造国家级、百亿级半固态精密成形产业基地，加快发展半固态精密成形技术相关产品研发和生产，强化RSF半固态制浆、半固态成型、半固态压铸等技术优势，打造汽车零部件、通讯器材、3C电子产品、航空航天产品、坦克履带等轻质铝合金产品群，加快引进上下游精密铸造企业，延伸发展汽车、通讯、机电、模具等零配件。</w:t>
      </w:r>
      <w:r>
        <w:rPr>
          <w:rFonts w:hint="eastAsia" w:eastAsia="方正黑体_GBK"/>
          <w:color w:val="000000" w:themeColor="text1"/>
          <w:sz w:val="32"/>
          <w:szCs w:val="32"/>
          <w14:textFill>
            <w14:solidFill>
              <w14:schemeClr w14:val="tx1"/>
            </w14:solidFill>
          </w14:textFill>
        </w:rPr>
        <w:t>高端专用装备领域</w:t>
      </w:r>
      <w:r>
        <w:rPr>
          <w:rFonts w:hint="eastAsia"/>
          <w:color w:val="000000" w:themeColor="text1"/>
          <w:sz w:val="32"/>
          <w:szCs w:val="32"/>
          <w14:textFill>
            <w14:solidFill>
              <w14:schemeClr w14:val="tx1"/>
            </w14:solidFill>
          </w14:textFill>
        </w:rPr>
        <w:t>，重点发展高端纺织机械、工程机械、农业机械、环保机械等特色装备，以及配套的智能元器件、高精度轴承、传动装置、液气密元件及系统、模具等关键基础零部件。</w:t>
      </w:r>
      <w:r>
        <w:rPr>
          <w:rFonts w:hint="eastAsia" w:eastAsia="方正黑体_GBK"/>
          <w:color w:val="000000" w:themeColor="text1"/>
          <w:sz w:val="32"/>
          <w:szCs w:val="32"/>
          <w14:textFill>
            <w14:solidFill>
              <w14:schemeClr w14:val="tx1"/>
            </w14:solidFill>
          </w14:textFill>
        </w:rPr>
        <w:t>智能成套装备领域</w:t>
      </w:r>
      <w:r>
        <w:rPr>
          <w:rFonts w:hint="eastAsia"/>
          <w:color w:val="000000" w:themeColor="text1"/>
          <w:sz w:val="32"/>
          <w:szCs w:val="32"/>
          <w14:textFill>
            <w14:solidFill>
              <w14:schemeClr w14:val="tx1"/>
            </w14:solidFill>
          </w14:textFill>
        </w:rPr>
        <w:t>，大力招引培育柔性制造、检测、装配等智能成套装备研发和产业化项目，重点突破以信息深度感知、智慧优化自决策、精准控制自执行等为特征的新一代智能控制系统技术。</w:t>
      </w:r>
      <w:r>
        <w:rPr>
          <w:rFonts w:hint="eastAsia" w:eastAsia="方正黑体_GBK"/>
          <w:color w:val="000000" w:themeColor="text1"/>
          <w:sz w:val="32"/>
          <w:szCs w:val="32"/>
          <w14:textFill>
            <w14:solidFill>
              <w14:schemeClr w14:val="tx1"/>
            </w14:solidFill>
          </w14:textFill>
        </w:rPr>
        <w:t>高端数控机床领域</w:t>
      </w:r>
      <w:r>
        <w:rPr>
          <w:rFonts w:hint="eastAsia"/>
          <w:color w:val="000000" w:themeColor="text1"/>
          <w:sz w:val="32"/>
          <w:szCs w:val="32"/>
          <w14:textFill>
            <w14:solidFill>
              <w14:schemeClr w14:val="tx1"/>
            </w14:solidFill>
          </w14:textFill>
        </w:rPr>
        <w:t>，重点发展高速、复合、精密、环保、智能和多轴联动的高档数控机床，以及基础制造装备及集成制造系统，推动数控机床向功能复合化、控制智能化方向转型。</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3</w:t>
      </w:r>
      <w:r>
        <w:rPr>
          <w:rFonts w:hint="eastAsia" w:eastAsia="方正楷体_GBK"/>
          <w:color w:val="000000" w:themeColor="text1"/>
          <w:sz w:val="32"/>
          <w:szCs w:val="32"/>
          <w14:textFill>
            <w14:solidFill>
              <w14:schemeClr w14:val="tx1"/>
            </w14:solidFill>
          </w14:textFill>
        </w:rPr>
        <w:t>．汽车及零部件</w:t>
      </w:r>
      <w:r>
        <w:rPr>
          <w:rFonts w:hint="eastAsia"/>
          <w:color w:val="000000" w:themeColor="text1"/>
          <w:sz w:val="32"/>
          <w:szCs w:val="32"/>
          <w14:textFill>
            <w14:solidFill>
              <w14:schemeClr w14:val="tx1"/>
            </w14:solidFill>
          </w14:textFill>
        </w:rPr>
        <w:t>。重点依托泗洪县，围绕纯电动汽车、混合动力汽车、燃料电池汽车等新能源汽车和高效燃油汽车的发展需求，在大力招引培育整车制造企业的基础上，重点发展动力系统、行驶系统、汽车电子、车身附体、转向系统、传动系统、智能网联系统等领域的特色优势产品与核心零部件，提升我市产业层次和协同配套能力，力争到2025年产业规模突破150亿元，建成特色产品优势突出、企业配套合作紧密、新能源化智能化水平高的汽车及零部件产业基地。其中，</w:t>
      </w:r>
      <w:r>
        <w:rPr>
          <w:rFonts w:hint="eastAsia" w:eastAsia="方正黑体_GBK"/>
          <w:color w:val="000000" w:themeColor="text1"/>
          <w:sz w:val="32"/>
          <w:szCs w:val="32"/>
          <w14:textFill>
            <w14:solidFill>
              <w14:schemeClr w14:val="tx1"/>
            </w14:solidFill>
          </w14:textFill>
        </w:rPr>
        <w:t>动力系统领域</w:t>
      </w:r>
      <w:r>
        <w:rPr>
          <w:rFonts w:hint="eastAsia"/>
          <w:color w:val="000000" w:themeColor="text1"/>
          <w:sz w:val="32"/>
          <w:szCs w:val="32"/>
          <w14:textFill>
            <w14:solidFill>
              <w14:schemeClr w14:val="tx1"/>
            </w14:solidFill>
          </w14:textFill>
        </w:rPr>
        <w:t>，重点发展缸体、缸套、活塞、可变进气歧管等优势产品，整合燃油系统、控制系统、进气处理、滤清系统、尾气处理系统和电力系统在内的发动机零部件及其相关技术，打造发动机总成。</w:t>
      </w:r>
      <w:r>
        <w:rPr>
          <w:rFonts w:hint="eastAsia" w:eastAsia="方正黑体_GBK"/>
          <w:color w:val="000000" w:themeColor="text1"/>
          <w:sz w:val="32"/>
          <w:szCs w:val="32"/>
          <w14:textFill>
            <w14:solidFill>
              <w14:schemeClr w14:val="tx1"/>
            </w14:solidFill>
          </w14:textFill>
        </w:rPr>
        <w:t>行驶系统领域</w:t>
      </w:r>
      <w:r>
        <w:rPr>
          <w:rFonts w:hint="eastAsia"/>
          <w:color w:val="000000" w:themeColor="text1"/>
          <w:sz w:val="32"/>
          <w:szCs w:val="32"/>
          <w14:textFill>
            <w14:solidFill>
              <w14:schemeClr w14:val="tx1"/>
            </w14:solidFill>
          </w14:textFill>
        </w:rPr>
        <w:t>，重点发展轮毂、悬架、轮胎等优势产品。</w:t>
      </w:r>
      <w:r>
        <w:rPr>
          <w:rFonts w:hint="eastAsia" w:eastAsia="方正黑体_GBK"/>
          <w:color w:val="000000" w:themeColor="text1"/>
          <w:sz w:val="32"/>
          <w:szCs w:val="32"/>
          <w14:textFill>
            <w14:solidFill>
              <w14:schemeClr w14:val="tx1"/>
            </w14:solidFill>
          </w14:textFill>
        </w:rPr>
        <w:t>汽车电子领域</w:t>
      </w:r>
      <w:r>
        <w:rPr>
          <w:rFonts w:hint="eastAsia"/>
          <w:color w:val="000000" w:themeColor="text1"/>
          <w:sz w:val="32"/>
          <w:szCs w:val="32"/>
          <w14:textFill>
            <w14:solidFill>
              <w14:schemeClr w14:val="tx1"/>
            </w14:solidFill>
          </w14:textFill>
        </w:rPr>
        <w:t>，重点发展集娱乐、导航、安全、辅助驾驶、网络应用、呼叫服务为一体的智能电子信息系统。</w:t>
      </w:r>
      <w:r>
        <w:rPr>
          <w:rFonts w:hint="eastAsia" w:eastAsia="方正黑体_GBK"/>
          <w:color w:val="000000" w:themeColor="text1"/>
          <w:sz w:val="32"/>
          <w:szCs w:val="32"/>
          <w14:textFill>
            <w14:solidFill>
              <w14:schemeClr w14:val="tx1"/>
            </w14:solidFill>
          </w14:textFill>
        </w:rPr>
        <w:t>车身附体领域</w:t>
      </w:r>
      <w:r>
        <w:rPr>
          <w:rFonts w:hint="eastAsia"/>
          <w:color w:val="000000" w:themeColor="text1"/>
          <w:sz w:val="32"/>
          <w:szCs w:val="32"/>
          <w14:textFill>
            <w14:solidFill>
              <w14:schemeClr w14:val="tx1"/>
            </w14:solidFill>
          </w14:textFill>
        </w:rPr>
        <w:t>，重点发展轻量化、智能化、功能化、安全化的汽车玻璃产品。</w:t>
      </w:r>
      <w:r>
        <w:rPr>
          <w:rFonts w:hint="eastAsia" w:eastAsia="方正黑体_GBK"/>
          <w:color w:val="000000" w:themeColor="text1"/>
          <w:sz w:val="32"/>
          <w:szCs w:val="32"/>
          <w14:textFill>
            <w14:solidFill>
              <w14:schemeClr w14:val="tx1"/>
            </w14:solidFill>
          </w14:textFill>
        </w:rPr>
        <w:t>转向系统环节</w:t>
      </w:r>
      <w:r>
        <w:rPr>
          <w:rFonts w:hint="eastAsia"/>
          <w:color w:val="000000" w:themeColor="text1"/>
          <w:sz w:val="32"/>
          <w:szCs w:val="32"/>
          <w14:textFill>
            <w14:solidFill>
              <w14:schemeClr w14:val="tx1"/>
            </w14:solidFill>
          </w14:textFill>
        </w:rPr>
        <w:t>，重点招引新一代电子液压助力、电动助力转向系统及零部件产品。</w:t>
      </w:r>
      <w:r>
        <w:rPr>
          <w:rFonts w:hint="eastAsia" w:eastAsia="方正黑体_GBK"/>
          <w:color w:val="000000" w:themeColor="text1"/>
          <w:sz w:val="32"/>
          <w:szCs w:val="32"/>
          <w14:textFill>
            <w14:solidFill>
              <w14:schemeClr w14:val="tx1"/>
            </w14:solidFill>
          </w14:textFill>
        </w:rPr>
        <w:t>传动系统领域</w:t>
      </w:r>
      <w:r>
        <w:rPr>
          <w:rFonts w:hint="eastAsia"/>
          <w:color w:val="000000" w:themeColor="text1"/>
          <w:sz w:val="32"/>
          <w:szCs w:val="32"/>
          <w14:textFill>
            <w14:solidFill>
              <w14:schemeClr w14:val="tx1"/>
            </w14:solidFill>
          </w14:textFill>
        </w:rPr>
        <w:t>，重点招引以EVCT、DCT等自动变速箱为核心的传动系统及相关零配件研发和产业化项目。</w:t>
      </w:r>
      <w:r>
        <w:rPr>
          <w:rFonts w:hint="eastAsia" w:eastAsia="方正黑体_GBK"/>
          <w:color w:val="000000" w:themeColor="text1"/>
          <w:sz w:val="32"/>
          <w:szCs w:val="32"/>
          <w14:textFill>
            <w14:solidFill>
              <w14:schemeClr w14:val="tx1"/>
            </w14:solidFill>
          </w14:textFill>
        </w:rPr>
        <w:t>智能网联系统领域</w:t>
      </w:r>
      <w:r>
        <w:rPr>
          <w:rFonts w:hint="eastAsia"/>
          <w:color w:val="000000" w:themeColor="text1"/>
          <w:sz w:val="32"/>
          <w:szCs w:val="32"/>
          <w14:textFill>
            <w14:solidFill>
              <w14:schemeClr w14:val="tx1"/>
            </w14:solidFill>
          </w14:textFill>
        </w:rPr>
        <w:t>，重点招引摄像头、雷达、定位仪和高精度地图等感知系统和底盘电子控制系统等执行系统领域的研发和产业化项目，以及提供车载信息服务的车联网平台。</w:t>
      </w:r>
    </w:p>
    <w:p>
      <w:pPr>
        <w:spacing w:line="580" w:lineRule="exact"/>
        <w:ind w:firstLine="640" w:firstLineChars="200"/>
        <w:rPr>
          <w:color w:val="000000" w:themeColor="text1"/>
          <w:sz w:val="32"/>
          <w:szCs w:val="32"/>
          <w14:textFill>
            <w14:solidFill>
              <w14:schemeClr w14:val="tx1"/>
            </w14:solidFill>
          </w14:textFill>
        </w:rPr>
      </w:pPr>
      <w:r>
        <w:rPr>
          <w:rFonts w:hint="eastAsia" w:eastAsia="方正楷体_GBK"/>
          <w:color w:val="000000" w:themeColor="text1"/>
          <w:sz w:val="32"/>
          <w:szCs w:val="32"/>
          <w14:textFill>
            <w14:solidFill>
              <w14:schemeClr w14:val="tx1"/>
            </w14:solidFill>
          </w14:textFill>
        </w:rPr>
        <w:t>4．激光装备</w:t>
      </w:r>
      <w:r>
        <w:rPr>
          <w:rFonts w:hint="eastAsia"/>
          <w:color w:val="000000" w:themeColor="text1"/>
          <w:sz w:val="32"/>
          <w:szCs w:val="32"/>
          <w14:textFill>
            <w14:solidFill>
              <w14:schemeClr w14:val="tx1"/>
            </w14:solidFill>
          </w14:textFill>
        </w:rPr>
        <w:t>。依托宿城区激光小镇，在进一步提升我市激光切割机、激光焊接机、激光打标机等成套设备生产制造能力和技术优势的基础上，围绕3D打印（增材制造）、医疗、美容、先进传感器等领域的应用需求，发展配套的特色激光装备及元器件产品，力争到2025年产业规模突破100亿元，建成产业链较完善、应用领域广、特色产品优势突出的激光装备产业基地。其中，</w:t>
      </w:r>
      <w:r>
        <w:rPr>
          <w:rFonts w:hint="eastAsia" w:eastAsia="方正黑体_GBK"/>
          <w:color w:val="000000" w:themeColor="text1"/>
          <w:sz w:val="32"/>
          <w:szCs w:val="32"/>
          <w14:textFill>
            <w14:solidFill>
              <w14:schemeClr w14:val="tx1"/>
            </w14:solidFill>
          </w14:textFill>
        </w:rPr>
        <w:t>成套设备领域</w:t>
      </w:r>
      <w:r>
        <w:rPr>
          <w:rFonts w:hint="eastAsia"/>
          <w:color w:val="000000" w:themeColor="text1"/>
          <w:sz w:val="32"/>
          <w:szCs w:val="32"/>
          <w14:textFill>
            <w14:solidFill>
              <w14:schemeClr w14:val="tx1"/>
            </w14:solidFill>
          </w14:textFill>
        </w:rPr>
        <w:t>，重点发展更高性能的新一代高功率激光切割机、光纤在线激光打标机，推进超短焦4K激光显示技术应用，不断提升产品功率、精度和智能化水平；重点招引培育激光雕刻机、激光手术设备等应用前景广、产品附加值高的研发和产业化项目。</w:t>
      </w:r>
      <w:r>
        <w:rPr>
          <w:rFonts w:hint="eastAsia" w:eastAsia="方正黑体_GBK"/>
          <w:color w:val="000000" w:themeColor="text1"/>
          <w:sz w:val="32"/>
          <w:szCs w:val="32"/>
          <w14:textFill>
            <w14:solidFill>
              <w14:schemeClr w14:val="tx1"/>
            </w14:solidFill>
          </w14:textFill>
        </w:rPr>
        <w:t>元器件领域</w:t>
      </w:r>
      <w:r>
        <w:rPr>
          <w:rFonts w:hint="eastAsia"/>
          <w:color w:val="000000" w:themeColor="text1"/>
          <w:sz w:val="32"/>
          <w:szCs w:val="32"/>
          <w14:textFill>
            <w14:solidFill>
              <w14:schemeClr w14:val="tx1"/>
            </w14:solidFill>
          </w14:textFill>
        </w:rPr>
        <w:t>，重点攻克高效率泵浦耦合、光纤绕环和光纤锥、激光器波长合成等高功率光纤激光器关键技术，推动激光雷达LiDAR、垂直腔面发射激光器VCSEL等产品的研发和生产；重点招引激光光学镜片、振镜、声光开关、调制器、激光加工头等光学元器件，以及耐受功率较高的非球面蓝宝石光学透镜等前沿产品技术研发和产业化项目。</w:t>
      </w:r>
    </w:p>
    <w:p>
      <w:pPr>
        <w:spacing w:line="580" w:lineRule="exact"/>
        <w:ind w:firstLine="640" w:firstLineChars="200"/>
        <w:rPr>
          <w:color w:val="000000" w:themeColor="text1"/>
          <w:sz w:val="32"/>
          <w:szCs w:val="32"/>
          <w14:textFill>
            <w14:solidFill>
              <w14:schemeClr w14:val="tx1"/>
            </w14:solidFill>
          </w14:textFill>
        </w:rPr>
      </w:pPr>
      <w:r>
        <w:rPr>
          <w:rFonts w:hint="eastAsia" w:eastAsia="方正楷体_GBK"/>
          <w:color w:val="000000" w:themeColor="text1"/>
          <w:sz w:val="32"/>
          <w:szCs w:val="32"/>
          <w14:textFill>
            <w14:solidFill>
              <w14:schemeClr w14:val="tx1"/>
            </w14:solidFill>
          </w14:textFill>
        </w:rPr>
        <w:t>5．智能家电</w:t>
      </w:r>
      <w:r>
        <w:rPr>
          <w:rFonts w:hint="eastAsia"/>
          <w:color w:val="000000" w:themeColor="text1"/>
          <w:sz w:val="32"/>
          <w:szCs w:val="32"/>
          <w14:textFill>
            <w14:solidFill>
              <w14:schemeClr w14:val="tx1"/>
            </w14:solidFill>
          </w14:textFill>
        </w:rPr>
        <w:t>。重点依托宿迁经开区，紧跟新一轮智能家电发展潮流，聚焦冰箱、洗衣机、小家电、空调等产业基础较好的特色产品，进一步招引培育大企业大品牌及其配套的关键零部件生产企业，强化企业间协同配套与合作创新，提升产品附加值和产业整体竞争力，力争到2025年产业规模突破200亿元，建成品牌知名度高、零部件配套完善、自主创新能力强的智能家电产业基地。其中，</w:t>
      </w:r>
      <w:r>
        <w:rPr>
          <w:rFonts w:hint="eastAsia" w:eastAsia="方正黑体_GBK"/>
          <w:color w:val="000000" w:themeColor="text1"/>
          <w:sz w:val="32"/>
          <w:szCs w:val="32"/>
          <w14:textFill>
            <w14:solidFill>
              <w14:schemeClr w14:val="tx1"/>
            </w14:solidFill>
          </w14:textFill>
        </w:rPr>
        <w:t>冰箱领域</w:t>
      </w:r>
      <w:r>
        <w:rPr>
          <w:rFonts w:hint="eastAsia"/>
          <w:color w:val="000000" w:themeColor="text1"/>
          <w:sz w:val="32"/>
          <w:szCs w:val="32"/>
          <w14:textFill>
            <w14:solidFill>
              <w14:schemeClr w14:val="tx1"/>
            </w14:solidFill>
          </w14:textFill>
        </w:rPr>
        <w:t>，重点发展大容量、智能化、节能环保型、超静音等中高档产品，拓展多功能特种冷柜领域，以及冷凝器、蒸发器、温控器、发泡剂、制冷剂等核心零部件和关键材料。</w:t>
      </w:r>
      <w:r>
        <w:rPr>
          <w:rFonts w:hint="eastAsia" w:eastAsia="方正黑体_GBK"/>
          <w:color w:val="000000" w:themeColor="text1"/>
          <w:sz w:val="32"/>
          <w:szCs w:val="32"/>
          <w14:textFill>
            <w14:solidFill>
              <w14:schemeClr w14:val="tx1"/>
            </w14:solidFill>
          </w14:textFill>
        </w:rPr>
        <w:t>洗衣机领域</w:t>
      </w:r>
      <w:r>
        <w:rPr>
          <w:rFonts w:hint="eastAsia"/>
          <w:color w:val="000000" w:themeColor="text1"/>
          <w:sz w:val="32"/>
          <w:szCs w:val="32"/>
          <w14:textFill>
            <w14:solidFill>
              <w14:schemeClr w14:val="tx1"/>
            </w14:solidFill>
          </w14:textFill>
        </w:rPr>
        <w:t>，响应国家低碳节能发展战略，鼓励引导企业向洗净、智能、节水、静音等技术研究和应用，发展具备大容量、节水省时、智能控制、消毒杀菌等新功能的产品，以及配套的电机、电磁阀、水位感应器、离合器、控制主板等核心零部件。</w:t>
      </w:r>
      <w:r>
        <w:rPr>
          <w:rFonts w:hint="eastAsia" w:eastAsia="方正黑体_GBK"/>
          <w:color w:val="000000" w:themeColor="text1"/>
          <w:sz w:val="32"/>
          <w:szCs w:val="32"/>
          <w14:textFill>
            <w14:solidFill>
              <w14:schemeClr w14:val="tx1"/>
            </w14:solidFill>
          </w14:textFill>
        </w:rPr>
        <w:t>小家电领域</w:t>
      </w:r>
      <w:r>
        <w:rPr>
          <w:rFonts w:hint="eastAsia"/>
          <w:color w:val="000000" w:themeColor="text1"/>
          <w:sz w:val="32"/>
          <w:szCs w:val="32"/>
          <w14:textFill>
            <w14:solidFill>
              <w14:schemeClr w14:val="tx1"/>
            </w14:solidFill>
          </w14:textFill>
        </w:rPr>
        <w:t>，重点发展电水壶、加湿器、豆浆机、咖啡机、榨汁机等日用小家电，以及配套的风机、过滤网、热短路器、磁控管、温度传感器等核心零部件，充分利用安全、健康、节能等设计理念和先进技术，提高产品外观的工艺感和产品功能的智能化水平。</w:t>
      </w:r>
      <w:r>
        <w:rPr>
          <w:rFonts w:hint="eastAsia" w:eastAsia="方正黑体_GBK"/>
          <w:color w:val="000000" w:themeColor="text1"/>
          <w:sz w:val="32"/>
          <w:szCs w:val="32"/>
          <w14:textFill>
            <w14:solidFill>
              <w14:schemeClr w14:val="tx1"/>
            </w14:solidFill>
          </w14:textFill>
        </w:rPr>
        <w:t>空调领域</w:t>
      </w:r>
      <w:r>
        <w:rPr>
          <w:rFonts w:hint="eastAsia"/>
          <w:color w:val="000000" w:themeColor="text1"/>
          <w:sz w:val="32"/>
          <w:szCs w:val="32"/>
          <w14:textFill>
            <w14:solidFill>
              <w14:schemeClr w14:val="tx1"/>
            </w14:solidFill>
          </w14:textFill>
        </w:rPr>
        <w:t>，重点发展节能、低碳、环保、健康、时尚、舒适型家用空调新产品；应用光伏直驱、热交换、整体节能、智能控制、新能源替代等先进技术的商用空调产品，以及满足各类公共场所个性化需求的中央空调整体解决方案；通过项目招引，重点发展风扇、变频空调控制器、干燥过滤器等核心零部件。</w:t>
      </w:r>
      <w:r>
        <w:rPr>
          <w:rFonts w:hint="eastAsia" w:eastAsia="方正黑体_GBK"/>
          <w:color w:val="000000" w:themeColor="text1"/>
          <w:sz w:val="32"/>
          <w:szCs w:val="32"/>
          <w14:textFill>
            <w14:solidFill>
              <w14:schemeClr w14:val="tx1"/>
            </w14:solidFill>
          </w14:textFill>
        </w:rPr>
        <w:t>智能家电通用零部件领域</w:t>
      </w:r>
      <w:r>
        <w:rPr>
          <w:rFonts w:hint="eastAsia"/>
          <w:color w:val="000000" w:themeColor="text1"/>
          <w:sz w:val="32"/>
          <w:szCs w:val="32"/>
          <w14:textFill>
            <w14:solidFill>
              <w14:schemeClr w14:val="tx1"/>
            </w14:solidFill>
          </w14:textFill>
        </w:rPr>
        <w:t>，重点围绕冰箱、空调等产品需求，研发新一代高端变频技术、压缩机小型化技术，进一步提高产品能效和环保水平。</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二、绿色食品产业</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依托市洋河新区、宿迁经开区、泗洪县、泗阳县、宿豫区、宿城区等重点地区，重点发展酿造（酒）、食品加工、畜禽和水产品精深加工3个细分产业，力争到2025年产业规模突破1000亿元，进一步提升宿迁“中国酒都”的影响力，建成全国一流的绿色食品产业集群。</w:t>
      </w:r>
    </w:p>
    <w:p>
      <w:pPr>
        <w:spacing w:line="580" w:lineRule="exact"/>
        <w:ind w:firstLine="640" w:firstLineChars="200"/>
        <w:rPr>
          <w:color w:val="000000" w:themeColor="text1"/>
          <w14:textFill>
            <w14:solidFill>
              <w14:schemeClr w14:val="tx1"/>
            </w14:solidFill>
          </w14:textFill>
        </w:rPr>
      </w:pPr>
      <w:r>
        <w:rPr>
          <w:rFonts w:hint="eastAsia" w:eastAsia="方正楷体_GBK"/>
          <w:color w:val="000000" w:themeColor="text1"/>
          <w:sz w:val="32"/>
          <w:szCs w:val="32"/>
          <w14:textFill>
            <w14:solidFill>
              <w14:schemeClr w14:val="tx1"/>
            </w14:solidFill>
          </w14:textFill>
        </w:rPr>
        <w:t>1.酿造（酒）</w:t>
      </w:r>
      <w:r>
        <w:rPr>
          <w:rFonts w:hint="eastAsia"/>
          <w:color w:val="000000" w:themeColor="text1"/>
          <w:sz w:val="32"/>
          <w:szCs w:val="32"/>
          <w14:textFill>
            <w14:solidFill>
              <w14:schemeClr w14:val="tx1"/>
            </w14:solidFill>
          </w14:textFill>
        </w:rPr>
        <w:t>。重点依托市洋河新区、泗洪县、宿豫区、宿城区、宿迁经开区，全面落实宿迁“中国酒都”建设六大工程，积极推动企业加强智能化、信息化改造，强化酒产品线上销售，进一步扩大我市高端健康白酒、时尚精酿啤酒、特色红酒和中高端洋酒的产品优势和品牌影响力，大力延伸发展酒文化、酒旅游、酿酒副产品精深加工等新业态新产品，</w:t>
      </w:r>
      <w:r>
        <w:rPr>
          <w:rFonts w:hint="eastAsia"/>
          <w:color w:val="000000" w:themeColor="text1"/>
          <w:kern w:val="0"/>
          <w:sz w:val="32"/>
          <w:szCs w:val="32"/>
          <w14:textFill>
            <w14:solidFill>
              <w14:schemeClr w14:val="tx1"/>
            </w14:solidFill>
          </w14:textFill>
        </w:rPr>
        <w:t>加快发展特色调味品，</w:t>
      </w:r>
      <w:r>
        <w:rPr>
          <w:rFonts w:hint="eastAsia"/>
          <w:color w:val="000000" w:themeColor="text1"/>
          <w:sz w:val="32"/>
          <w:szCs w:val="32"/>
          <w14:textFill>
            <w14:solidFill>
              <w14:schemeClr w14:val="tx1"/>
            </w14:solidFill>
          </w14:textFill>
        </w:rPr>
        <w:t>力争到2025年产业规模突破600亿元，建成产区品牌全球知名、高端白酒品质世界顶级、产业链条长、融合发展水平高的酒产业集群。其中，</w:t>
      </w:r>
      <w:r>
        <w:rPr>
          <w:rFonts w:hint="eastAsia" w:eastAsia="方正黑体_GBK"/>
          <w:color w:val="000000" w:themeColor="text1"/>
          <w:sz w:val="32"/>
          <w:szCs w:val="32"/>
          <w14:textFill>
            <w14:solidFill>
              <w14:schemeClr w14:val="tx1"/>
            </w14:solidFill>
          </w14:textFill>
        </w:rPr>
        <w:t>高端健康白酒领域</w:t>
      </w:r>
      <w:r>
        <w:rPr>
          <w:rFonts w:hint="eastAsia"/>
          <w:color w:val="000000" w:themeColor="text1"/>
          <w:sz w:val="32"/>
          <w:szCs w:val="32"/>
          <w14:textFill>
            <w14:solidFill>
              <w14:schemeClr w14:val="tx1"/>
            </w14:solidFill>
          </w14:textFill>
        </w:rPr>
        <w:t>，重点依托洋河股份等龙头企业，结合项目招引培育，攻关生物发酵过程智能化控制等新技术，发展与白酒发酵、蒸馏、灌装、窖藏等工艺配套的智能化成套设备，以及高效化、专业化、自动化的包装产线，进一步提高白酒产品的生产效率和品质；积极打造高端白酒品牌梯队，重点支持结合项目招引培育，攻关生物发酵过程智能化控制等新技术，打造3个国内知名品牌和一批区域性优势品牌；鼓励企业利用电商优势拓展线上白酒版图，不断提高产品市场占有率。</w:t>
      </w:r>
      <w:r>
        <w:rPr>
          <w:rFonts w:hint="eastAsia" w:eastAsia="方正黑体_GBK"/>
          <w:color w:val="000000" w:themeColor="text1"/>
          <w:sz w:val="32"/>
          <w:szCs w:val="32"/>
          <w14:textFill>
            <w14:solidFill>
              <w14:schemeClr w14:val="tx1"/>
            </w14:solidFill>
          </w14:textFill>
        </w:rPr>
        <w:t>时尚精酿啤酒领域</w:t>
      </w:r>
      <w:r>
        <w:rPr>
          <w:rFonts w:hint="eastAsia"/>
          <w:color w:val="000000" w:themeColor="text1"/>
          <w:sz w:val="32"/>
          <w:szCs w:val="32"/>
          <w14:textFill>
            <w14:solidFill>
              <w14:schemeClr w14:val="tx1"/>
            </w14:solidFill>
          </w14:textFill>
        </w:rPr>
        <w:t>，重点发展精酿啤酒及配套的高档酿酒原料、小型化酿酒设备等产品。</w:t>
      </w:r>
      <w:r>
        <w:rPr>
          <w:rFonts w:hint="eastAsia" w:eastAsia="方正黑体_GBK"/>
          <w:color w:val="000000" w:themeColor="text1"/>
          <w:sz w:val="32"/>
          <w:szCs w:val="32"/>
          <w14:textFill>
            <w14:solidFill>
              <w14:schemeClr w14:val="tx1"/>
            </w14:solidFill>
          </w14:textFill>
        </w:rPr>
        <w:t>特色红酒和中高端洋酒领域</w:t>
      </w:r>
      <w:r>
        <w:rPr>
          <w:rFonts w:hint="eastAsia"/>
          <w:color w:val="000000" w:themeColor="text1"/>
          <w:sz w:val="32"/>
          <w:szCs w:val="32"/>
          <w14:textFill>
            <w14:solidFill>
              <w14:schemeClr w14:val="tx1"/>
            </w14:solidFill>
          </w14:textFill>
        </w:rPr>
        <w:t>，重点依托洋河股份，结合项目招引，发展高品价比的大众型、快餐型红酒和高端定制酒庄酒，以及适应大众消费、家庭消费需求的中高端洋酒。</w:t>
      </w:r>
      <w:r>
        <w:rPr>
          <w:rFonts w:hint="eastAsia" w:eastAsia="方正黑体_GBK"/>
          <w:color w:val="000000" w:themeColor="text1"/>
          <w:sz w:val="32"/>
          <w:szCs w:val="32"/>
          <w14:textFill>
            <w14:solidFill>
              <w14:schemeClr w14:val="tx1"/>
            </w14:solidFill>
          </w14:textFill>
        </w:rPr>
        <w:t>新业态新产品领域</w:t>
      </w:r>
      <w:r>
        <w:rPr>
          <w:rFonts w:hint="eastAsia"/>
          <w:color w:val="000000" w:themeColor="text1"/>
          <w:sz w:val="32"/>
          <w:szCs w:val="32"/>
          <w14:textFill>
            <w14:solidFill>
              <w14:schemeClr w14:val="tx1"/>
            </w14:solidFill>
          </w14:textFill>
        </w:rPr>
        <w:t>，重点依托洋河创意包装产业园和洋河酒厂、双沟酒业等企业，结合项目招引孵化，发展酒文化主题工业旅游、酒酿造工艺体验、酒类包装设计创意等新业态，打造酒都文化广场、酒都文化公园、酒都文化旅游节等特色酒旅游项目和活动；重点依托洋河股份、乾隆江南等企业，大力发展蛋白饲料、生物复合肥、美容产品、保健品等酿酒副产品高效综合利用产品。</w:t>
      </w:r>
      <w:r>
        <w:rPr>
          <w:rFonts w:hint="eastAsia" w:eastAsia="方正黑体_GBK"/>
          <w:color w:val="000000" w:themeColor="text1"/>
          <w:sz w:val="32"/>
          <w:szCs w:val="32"/>
          <w14:textFill>
            <w14:solidFill>
              <w14:schemeClr w14:val="tx1"/>
            </w14:solidFill>
          </w14:textFill>
        </w:rPr>
        <w:t>调味品领域</w:t>
      </w:r>
      <w:r>
        <w:rPr>
          <w:rFonts w:hint="eastAsia"/>
          <w:color w:val="000000" w:themeColor="text1"/>
          <w:sz w:val="32"/>
          <w:szCs w:val="32"/>
          <w14:textFill>
            <w14:solidFill>
              <w14:schemeClr w14:val="tx1"/>
            </w14:solidFill>
          </w14:textFill>
        </w:rPr>
        <w:t>，以打造百亿级龙头企业为目标，加强基因工程、酶工程、发酵工程等现代生物技术应用，提升仓储和包装自动化智能化水平，加快研发检测能力建设，建立全供应链智能互联体系，提升食品安全全程保障和精益化生产能力，大力发展酱油、醋、蚝油、料酒等特色调味品，积极改善调味品营养与风味，根据市场需求扩大产品品类，打造高品质、多样化、绿色化的特色调味品品牌。</w:t>
      </w:r>
    </w:p>
    <w:tbl>
      <w:tblPr>
        <w:tblStyle w:val="25"/>
        <w:tblW w:w="894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8946" w:type="dxa"/>
            <w:noWrap/>
          </w:tcPr>
          <w:p>
            <w:pPr>
              <w:spacing w:line="580" w:lineRule="exact"/>
              <w:jc w:val="center"/>
              <w:rPr>
                <w:rFonts w:eastAsia="方正黑体_GBK"/>
                <w:color w:val="000000" w:themeColor="text1"/>
                <w:sz w:val="28"/>
                <w:szCs w:val="28"/>
                <w14:textFill>
                  <w14:solidFill>
                    <w14:schemeClr w14:val="tx1"/>
                  </w14:solidFill>
                </w14:textFill>
              </w:rPr>
            </w:pPr>
            <w:r>
              <w:rPr>
                <w:rFonts w:eastAsia="方正黑体_GBK"/>
                <w:color w:val="000000" w:themeColor="text1"/>
                <w:sz w:val="28"/>
                <w:szCs w:val="28"/>
                <w14:textFill>
                  <w14:solidFill>
                    <w14:schemeClr w14:val="tx1"/>
                  </w14:solidFill>
                </w14:textFill>
              </w:rPr>
              <w:t>专栏4-1  实施中国酒都建设工程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2" w:hRule="atLeast"/>
        </w:trPr>
        <w:tc>
          <w:tcPr>
            <w:tcW w:w="8946" w:type="dxa"/>
            <w:noWrap/>
          </w:tcPr>
          <w:p>
            <w:pPr>
              <w:spacing w:line="400" w:lineRule="exact"/>
              <w:ind w:firstLine="562" w:firstLineChars="200"/>
              <w:rPr>
                <w:color w:val="000000" w:themeColor="text1"/>
                <w:sz w:val="28"/>
                <w:szCs w:val="28"/>
                <w14:textFill>
                  <w14:solidFill>
                    <w14:schemeClr w14:val="tx1"/>
                  </w14:solidFill>
                </w14:textFill>
              </w:rPr>
            </w:pPr>
            <w:r>
              <w:rPr>
                <w:rFonts w:hint="eastAsia" w:ascii="方正仿宋_GBK" w:hAnsi="方正仿宋_GBK" w:cs="方正仿宋_GBK"/>
                <w:b/>
                <w:bCs/>
                <w:color w:val="000000" w:themeColor="text1"/>
                <w:sz w:val="28"/>
                <w:szCs w:val="28"/>
                <w14:textFill>
                  <w14:solidFill>
                    <w14:schemeClr w14:val="tx1"/>
                  </w14:solidFill>
                </w14:textFill>
              </w:rPr>
              <w:t>实施酒业倍增工程。</w:t>
            </w:r>
            <w:r>
              <w:rPr>
                <w:color w:val="000000" w:themeColor="text1"/>
                <w:sz w:val="28"/>
                <w:szCs w:val="28"/>
                <w14:textFill>
                  <w14:solidFill>
                    <w14:schemeClr w14:val="tx1"/>
                  </w14:solidFill>
                </w14:textFill>
              </w:rPr>
              <w:t>增加酒产能，提升品牌影响力，形成以白酒产业为支柱，啤酒等其他酒类为补充的多元化产业体系。支持苏酒集团围绕“千亿产值、万亿市值”目标，挖掘绵柔型白酒的核心价值和市场潜力，利用资金、品牌、技术、营销能力优势，实施名酒并购重组，引导中小酒企走“专精特新”“品牌+酒庄”的差别化特色化发展道路，打造酒企舰队，构筑中国白酒“宿迁板块”。延伸商贸、会展、金融、物流等关联产业，促进三次产业融合发展，打造酿酒全产业链。</w:t>
            </w:r>
          </w:p>
          <w:p>
            <w:pPr>
              <w:spacing w:line="400" w:lineRule="exact"/>
              <w:ind w:firstLine="562" w:firstLineChars="200"/>
              <w:rPr>
                <w:color w:val="000000" w:themeColor="text1"/>
                <w:sz w:val="28"/>
                <w:szCs w:val="28"/>
                <w14:textFill>
                  <w14:solidFill>
                    <w14:schemeClr w14:val="tx1"/>
                  </w14:solidFill>
                </w14:textFill>
              </w:rPr>
            </w:pPr>
            <w:r>
              <w:rPr>
                <w:rFonts w:hint="eastAsia" w:ascii="方正仿宋_GBK" w:hAnsi="方正仿宋_GBK" w:cs="方正仿宋_GBK"/>
                <w:b/>
                <w:bCs/>
                <w:color w:val="000000" w:themeColor="text1"/>
                <w:sz w:val="28"/>
                <w:szCs w:val="28"/>
                <w14:textFill>
                  <w14:solidFill>
                    <w14:schemeClr w14:val="tx1"/>
                  </w14:solidFill>
                </w14:textFill>
              </w:rPr>
              <w:t>实施特色酒都建设工程。</w:t>
            </w:r>
            <w:r>
              <w:rPr>
                <w:color w:val="000000" w:themeColor="text1"/>
                <w:sz w:val="28"/>
                <w:szCs w:val="28"/>
                <w14:textFill>
                  <w14:solidFill>
                    <w14:schemeClr w14:val="tx1"/>
                  </w14:solidFill>
                </w14:textFill>
              </w:rPr>
              <w:t>做好酒与英雄、生态、城市的融合文章，使“项王故里、中国酒都”成为宿迁城市的亮丽名片。规划建设酒文化博物馆、特色酒街等，策划举办酒都文化旅游节等活动，强化中心城市酒都标识，建成酒文化拓展区、酒类交易中心和酒行业活动中心。在洋河古镇构建“酒厂、酒镇、酒街、酒家、酒庄”多位一体的空间布局，建设世界优质白酒核心产区、酒文化活体体验区。挖掘醉猿文化、湿地文化，将双沟名镇打造成中国酒源头生态体验区。</w:t>
            </w:r>
          </w:p>
          <w:p>
            <w:pPr>
              <w:spacing w:line="400" w:lineRule="exact"/>
              <w:ind w:firstLine="562" w:firstLineChars="200"/>
              <w:rPr>
                <w:color w:val="000000" w:themeColor="text1"/>
                <w:spacing w:val="-6"/>
                <w:sz w:val="28"/>
                <w:szCs w:val="28"/>
                <w14:textFill>
                  <w14:solidFill>
                    <w14:schemeClr w14:val="tx1"/>
                  </w14:solidFill>
                </w14:textFill>
              </w:rPr>
            </w:pPr>
            <w:r>
              <w:rPr>
                <w:rFonts w:hint="eastAsia" w:ascii="方正仿宋_GBK" w:hAnsi="方正仿宋_GBK" w:cs="方正仿宋_GBK"/>
                <w:b/>
                <w:bCs/>
                <w:color w:val="000000" w:themeColor="text1"/>
                <w:sz w:val="28"/>
                <w:szCs w:val="28"/>
                <w14:textFill>
                  <w14:solidFill>
                    <w14:schemeClr w14:val="tx1"/>
                  </w14:solidFill>
                </w14:textFill>
              </w:rPr>
              <w:t>实施“三品”提升工程。</w:t>
            </w:r>
            <w:r>
              <w:rPr>
                <w:color w:val="000000" w:themeColor="text1"/>
                <w:sz w:val="28"/>
                <w:szCs w:val="28"/>
                <w14:textFill>
                  <w14:solidFill>
                    <w14:schemeClr w14:val="tx1"/>
                  </w14:solidFill>
                </w14:textFill>
              </w:rPr>
              <w:t>丰富酒品类，打造全球绵柔型白酒的领军形象，完善提升品类供给体系。适应消费多元化需求，探索推行个性化定制、柔性化生产，不断提升产品供给水平。支持企业技术改造和科技创新，开展品质革命，健全酒类质量安全追溯体系，实现从源头到终端的质量监管体系。鼓励制定白酒团体标准，构建宿迁白酒标准化体系。</w:t>
            </w:r>
            <w:r>
              <w:rPr>
                <w:color w:val="000000" w:themeColor="text1"/>
                <w:spacing w:val="-6"/>
                <w:sz w:val="28"/>
                <w:szCs w:val="28"/>
                <w14:textFill>
                  <w14:solidFill>
                    <w14:schemeClr w14:val="tx1"/>
                  </w14:solidFill>
                </w14:textFill>
              </w:rPr>
              <w:t>巩固提升“洋河”品牌，做优做强“双沟”品牌，鼓励支持乾隆江南、御珍酒业、分金亭酒业</w:t>
            </w:r>
            <w:r>
              <w:rPr>
                <w:rFonts w:hint="eastAsia"/>
                <w:color w:val="000000" w:themeColor="text1"/>
                <w:spacing w:val="-6"/>
                <w:sz w:val="28"/>
                <w:szCs w:val="28"/>
                <w14:textFill>
                  <w14:solidFill>
                    <w14:schemeClr w14:val="tx1"/>
                  </w14:solidFill>
                </w14:textFill>
              </w:rPr>
              <w:t>、古楼春酒业</w:t>
            </w:r>
            <w:r>
              <w:rPr>
                <w:color w:val="000000" w:themeColor="text1"/>
                <w:spacing w:val="-6"/>
                <w:sz w:val="28"/>
                <w:szCs w:val="28"/>
                <w14:textFill>
                  <w14:solidFill>
                    <w14:schemeClr w14:val="tx1"/>
                  </w14:solidFill>
                </w14:textFill>
              </w:rPr>
              <w:t>等加强品牌建设，培育知名品牌梯队。</w:t>
            </w:r>
          </w:p>
          <w:p>
            <w:pPr>
              <w:spacing w:line="400" w:lineRule="exact"/>
              <w:ind w:firstLine="562" w:firstLineChars="200"/>
              <w:rPr>
                <w:color w:val="000000" w:themeColor="text1"/>
                <w:sz w:val="28"/>
                <w:szCs w:val="28"/>
                <w14:textFill>
                  <w14:solidFill>
                    <w14:schemeClr w14:val="tx1"/>
                  </w14:solidFill>
                </w14:textFill>
              </w:rPr>
            </w:pPr>
            <w:r>
              <w:rPr>
                <w:rFonts w:hint="eastAsia" w:ascii="方正仿宋_GBK" w:hAnsi="方正仿宋_GBK" w:cs="方正仿宋_GBK"/>
                <w:b/>
                <w:bCs/>
                <w:color w:val="000000" w:themeColor="text1"/>
                <w:sz w:val="28"/>
                <w:szCs w:val="28"/>
                <w14:textFill>
                  <w14:solidFill>
                    <w14:schemeClr w14:val="tx1"/>
                  </w14:solidFill>
                </w14:textFill>
              </w:rPr>
              <w:t>实施酒文化传承工程。</w:t>
            </w:r>
            <w:r>
              <w:rPr>
                <w:color w:val="000000" w:themeColor="text1"/>
                <w:sz w:val="28"/>
                <w:szCs w:val="28"/>
                <w14:textFill>
                  <w14:solidFill>
                    <w14:schemeClr w14:val="tx1"/>
                  </w14:solidFill>
                </w14:textFill>
              </w:rPr>
              <w:t>挖掘保护酒文化，推动宿迁酒文化与红色文化、西楚文化、运河文化、湿地文化融合，形成内涵丰富、富有特色的酒文化体系。保护、传承和发展洋河、双沟酿酒技艺非物质文化遗产，争创国家工业旅游示范基地、国家工业遗产等。宣传展示酒文化，通过城市形象标识、酒文化典故、酒文化节等文化载体，挖掘酒文化深度，拓展宽度，提升“中国酒都”宿迁的美誉度。</w:t>
            </w:r>
          </w:p>
          <w:p>
            <w:pPr>
              <w:spacing w:line="400" w:lineRule="exact"/>
              <w:ind w:firstLine="562" w:firstLineChars="200"/>
              <w:rPr>
                <w:color w:val="000000" w:themeColor="text1"/>
                <w:sz w:val="28"/>
                <w:szCs w:val="28"/>
                <w14:textFill>
                  <w14:solidFill>
                    <w14:schemeClr w14:val="tx1"/>
                  </w14:solidFill>
                </w14:textFill>
              </w:rPr>
            </w:pPr>
            <w:r>
              <w:rPr>
                <w:rFonts w:hint="eastAsia" w:ascii="方正仿宋_GBK" w:hAnsi="方正仿宋_GBK" w:cs="方正仿宋_GBK"/>
                <w:b/>
                <w:bCs/>
                <w:color w:val="000000" w:themeColor="text1"/>
                <w:sz w:val="28"/>
                <w:szCs w:val="28"/>
                <w14:textFill>
                  <w14:solidFill>
                    <w14:schemeClr w14:val="tx1"/>
                  </w14:solidFill>
                </w14:textFill>
              </w:rPr>
              <w:t>实施酒旅游发展工程。</w:t>
            </w:r>
            <w:r>
              <w:rPr>
                <w:color w:val="000000" w:themeColor="text1"/>
                <w:sz w:val="28"/>
                <w:szCs w:val="28"/>
                <w14:textFill>
                  <w14:solidFill>
                    <w14:schemeClr w14:val="tx1"/>
                  </w14:solidFill>
                </w14:textFill>
              </w:rPr>
              <w:t>促进旅游业与白酒生产、研学、体验相融合，完善延伸酒产业旅游链。加快酒文化旅游基础设施建设，推进风情小镇、主题公园等项目，打造酒旅游地标。支持洋河股份文化旅游区打造成国家5A级旅游景区，深化双沟文化体验区和科技双沟旅游休闲区建设，围绕国家级景区创建，加快来安酒基地汉代酿酒文化旅游、乾隆江南御酒庄园项目开发，深挖酒道历史文化内涵，打造特色景点。</w:t>
            </w:r>
          </w:p>
          <w:p>
            <w:pPr>
              <w:spacing w:line="400" w:lineRule="exact"/>
              <w:ind w:firstLine="562" w:firstLineChars="200"/>
              <w:rPr>
                <w:color w:val="000000" w:themeColor="text1"/>
                <w:kern w:val="0"/>
                <w:sz w:val="28"/>
                <w:szCs w:val="28"/>
                <w14:textFill>
                  <w14:solidFill>
                    <w14:schemeClr w14:val="tx1"/>
                  </w14:solidFill>
                </w14:textFill>
              </w:rPr>
            </w:pPr>
            <w:r>
              <w:rPr>
                <w:rFonts w:hint="eastAsia" w:ascii="方正仿宋_GBK" w:hAnsi="方正仿宋_GBK" w:cs="方正仿宋_GBK"/>
                <w:b/>
                <w:bCs/>
                <w:color w:val="000000" w:themeColor="text1"/>
                <w:sz w:val="28"/>
                <w:szCs w:val="28"/>
                <w14:textFill>
                  <w14:solidFill>
                    <w14:schemeClr w14:val="tx1"/>
                  </w14:solidFill>
                </w14:textFill>
              </w:rPr>
              <w:t>实施酒产区保护工程。</w:t>
            </w:r>
            <w:r>
              <w:rPr>
                <w:color w:val="000000" w:themeColor="text1"/>
                <w:sz w:val="28"/>
                <w:szCs w:val="28"/>
                <w14:textFill>
                  <w14:solidFill>
                    <w14:schemeClr w14:val="tx1"/>
                  </w14:solidFill>
                </w14:textFill>
              </w:rPr>
              <w:t>明确产区发展定位，加快酒业三次产业高质量融合发展，推动原粮种植、酿酒制造、包装设计、创意研发等一体化发展。推进产区标准体系建设，提升产区品牌，培育酒文化新地标，加快将宿迁建设成为国际顶级的白酒产区。加强生态环境保护，加大酒类生产区域环境保护和治理力度，推进水环境综合整治，严控区域性环境污染。综合采取清洁生产、过程控制、深度治理等措施，推动酒企绿色发展。</w:t>
            </w:r>
          </w:p>
        </w:tc>
      </w:tr>
    </w:tbl>
    <w:p>
      <w:pPr>
        <w:spacing w:before="156" w:beforeLines="50"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2</w:t>
      </w:r>
      <w:r>
        <w:rPr>
          <w:rFonts w:hint="eastAsia" w:eastAsia="方正楷体_GBK"/>
          <w:color w:val="000000" w:themeColor="text1"/>
          <w:sz w:val="32"/>
          <w:szCs w:val="32"/>
          <w14:textFill>
            <w14:solidFill>
              <w14:schemeClr w14:val="tx1"/>
            </w14:solidFill>
          </w14:textFill>
        </w:rPr>
        <w:t>．食品加工</w:t>
      </w:r>
      <w:r>
        <w:rPr>
          <w:rFonts w:hint="eastAsia"/>
          <w:color w:val="000000" w:themeColor="text1"/>
          <w:sz w:val="32"/>
          <w:szCs w:val="32"/>
          <w14:textFill>
            <w14:solidFill>
              <w14:schemeClr w14:val="tx1"/>
            </w14:solidFill>
          </w14:textFill>
        </w:rPr>
        <w:t>。重点依托泗洪县、泗阳县、宿城区和宿迁经开区，积极推动企业提高研发设计能力，大力攻关农副产品精深加工、包装、清洁生产、食品安全检验检测等方面的关键核心技术与工艺，进一步扩大我市粮油、休闲食品、饮料、宠物食品等特色产品优势，打造绿色化、健康化、高端化的食品饮料品牌，力争到2025年产业规模突破200亿元，建成产品品类全、品牌知名度高的食品加工产业集群。其中，</w:t>
      </w:r>
      <w:r>
        <w:rPr>
          <w:rFonts w:hint="eastAsia" w:eastAsia="方正黑体_GBK"/>
          <w:color w:val="000000" w:themeColor="text1"/>
          <w:sz w:val="32"/>
          <w:szCs w:val="32"/>
          <w14:textFill>
            <w14:solidFill>
              <w14:schemeClr w14:val="tx1"/>
            </w14:solidFill>
          </w14:textFill>
        </w:rPr>
        <w:t>粮油产品领域</w:t>
      </w:r>
      <w:r>
        <w:rPr>
          <w:rFonts w:hint="eastAsia"/>
          <w:color w:val="000000" w:themeColor="text1"/>
          <w:sz w:val="32"/>
          <w:szCs w:val="32"/>
          <w14:textFill>
            <w14:solidFill>
              <w14:schemeClr w14:val="tx1"/>
            </w14:solidFill>
          </w14:textFill>
        </w:rPr>
        <w:t>，重点开展米面精深加工、农产品质量安全全程管控等技术攻关，提高粮食加工转化率；鼓励和支持企业开展营养成分保持与营养健康新产品技术攻关，发展速冻米面、专用面粉和主食制品。</w:t>
      </w:r>
      <w:r>
        <w:rPr>
          <w:rFonts w:hint="eastAsia" w:eastAsia="方正黑体_GBK"/>
          <w:color w:val="000000" w:themeColor="text1"/>
          <w:sz w:val="32"/>
          <w:szCs w:val="32"/>
          <w14:textFill>
            <w14:solidFill>
              <w14:schemeClr w14:val="tx1"/>
            </w14:solidFill>
          </w14:textFill>
        </w:rPr>
        <w:t>休闲食品领域</w:t>
      </w:r>
      <w:r>
        <w:rPr>
          <w:rFonts w:hint="eastAsia"/>
          <w:color w:val="000000" w:themeColor="text1"/>
          <w:sz w:val="32"/>
          <w:szCs w:val="32"/>
          <w14:textFill>
            <w14:solidFill>
              <w14:schemeClr w14:val="tx1"/>
            </w14:solidFill>
          </w14:textFill>
        </w:rPr>
        <w:t>，重点研发低温真空油炸、微波膨化、微生物毒素检测、中低温杀菌与包装保藏等技术，发展品牌化、特色化、差异化的方便小包装食品、风味食品、旅游休闲食品。</w:t>
      </w:r>
      <w:r>
        <w:rPr>
          <w:rFonts w:hint="eastAsia" w:eastAsia="方正黑体_GBK"/>
          <w:color w:val="000000" w:themeColor="text1"/>
          <w:sz w:val="32"/>
          <w:szCs w:val="32"/>
          <w14:textFill>
            <w14:solidFill>
              <w14:schemeClr w14:val="tx1"/>
            </w14:solidFill>
          </w14:textFill>
        </w:rPr>
        <w:t>饮料领域</w:t>
      </w:r>
      <w:r>
        <w:rPr>
          <w:rFonts w:hint="eastAsia"/>
          <w:color w:val="000000" w:themeColor="text1"/>
          <w:sz w:val="32"/>
          <w:szCs w:val="32"/>
          <w14:textFill>
            <w14:solidFill>
              <w14:schemeClr w14:val="tx1"/>
            </w14:solidFill>
          </w14:textFill>
        </w:rPr>
        <w:t>，重点研发绿色食品添加剂、超高压榨汁、自动化无菌灌装等关键技术，进一步提高矿泉水、凉茶、豆奶、调制乳等特色产品的品质，探索发展蛋白质饮料、代餐饮料等新产品。</w:t>
      </w:r>
      <w:r>
        <w:rPr>
          <w:rFonts w:hint="eastAsia" w:eastAsia="方正黑体_GBK"/>
          <w:color w:val="000000" w:themeColor="text1"/>
          <w:sz w:val="32"/>
          <w:szCs w:val="32"/>
          <w14:textFill>
            <w14:solidFill>
              <w14:schemeClr w14:val="tx1"/>
            </w14:solidFill>
          </w14:textFill>
        </w:rPr>
        <w:t>宠物食品领域</w:t>
      </w:r>
      <w:r>
        <w:rPr>
          <w:rFonts w:hint="eastAsia"/>
          <w:color w:val="000000" w:themeColor="text1"/>
          <w:sz w:val="32"/>
          <w:szCs w:val="32"/>
          <w14:textFill>
            <w14:solidFill>
              <w14:schemeClr w14:val="tx1"/>
            </w14:solidFill>
          </w14:textFill>
        </w:rPr>
        <w:t>，重点发展分品种、分年龄段的定制化宠物食品。</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 xml:space="preserve">3. </w:t>
      </w:r>
      <w:r>
        <w:rPr>
          <w:rFonts w:hint="eastAsia" w:eastAsia="方正楷体_GBK"/>
          <w:color w:val="000000" w:themeColor="text1"/>
          <w:sz w:val="32"/>
          <w:szCs w:val="32"/>
          <w14:textFill>
            <w14:solidFill>
              <w14:schemeClr w14:val="tx1"/>
            </w14:solidFill>
          </w14:textFill>
        </w:rPr>
        <w:t>畜禽和水产品精深加工</w:t>
      </w:r>
      <w:r>
        <w:rPr>
          <w:rFonts w:hint="eastAsia"/>
          <w:color w:val="000000" w:themeColor="text1"/>
          <w:sz w:val="32"/>
          <w:szCs w:val="32"/>
          <w14:textFill>
            <w14:solidFill>
              <w14:schemeClr w14:val="tx1"/>
            </w14:solidFill>
          </w14:textFill>
        </w:rPr>
        <w:t>。重点依托宿豫区、泗洪县、泗阳县，大力提升精深加工能力，加快发展速冻肉制品、熟食肉制品、水产品精深加工等特色产品，延伸发展饲料加工、养殖设备、屠宰加工设备，推广应用冷链物流技术，打造“长三角中央厨房”地域品牌，力争到2025年产业规模突破200亿元，建成精深加工占比大、品牌知名度高的畜禽和水产品精深加工产业基地。其中，</w:t>
      </w:r>
      <w:r>
        <w:rPr>
          <w:rFonts w:hint="eastAsia" w:eastAsia="方正黑体_GBK"/>
          <w:color w:val="000000" w:themeColor="text1"/>
          <w:sz w:val="32"/>
          <w:szCs w:val="32"/>
          <w14:textFill>
            <w14:solidFill>
              <w14:schemeClr w14:val="tx1"/>
            </w14:solidFill>
          </w14:textFill>
        </w:rPr>
        <w:t>速冻肉制品领域</w:t>
      </w:r>
      <w:r>
        <w:rPr>
          <w:rFonts w:hint="eastAsia"/>
          <w:color w:val="000000" w:themeColor="text1"/>
          <w:sz w:val="32"/>
          <w:szCs w:val="32"/>
          <w14:textFill>
            <w14:solidFill>
              <w14:schemeClr w14:val="tx1"/>
            </w14:solidFill>
          </w14:textFill>
        </w:rPr>
        <w:t>，鼓励企业开展肉制品非热加工、高值化利用，清洁生产等技术攻关，提升生产工艺水平和自动化程度。</w:t>
      </w:r>
      <w:r>
        <w:rPr>
          <w:rFonts w:hint="eastAsia" w:eastAsia="方正黑体_GBK"/>
          <w:color w:val="000000" w:themeColor="text1"/>
          <w:sz w:val="32"/>
          <w:szCs w:val="32"/>
          <w14:textFill>
            <w14:solidFill>
              <w14:schemeClr w14:val="tx1"/>
            </w14:solidFill>
          </w14:textFill>
        </w:rPr>
        <w:t>熟食肉制品领域</w:t>
      </w:r>
      <w:r>
        <w:rPr>
          <w:rFonts w:hint="eastAsia"/>
          <w:color w:val="000000" w:themeColor="text1"/>
          <w:sz w:val="32"/>
          <w:szCs w:val="32"/>
          <w14:textFill>
            <w14:solidFill>
              <w14:schemeClr w14:val="tx1"/>
            </w14:solidFill>
          </w14:textFill>
        </w:rPr>
        <w:t>，重点发展低热量的发酵肉、酱卤、功能性复合肉、重组肉等肉制品以及针对特殊人群的中式卤肉制品。</w:t>
      </w:r>
      <w:r>
        <w:rPr>
          <w:rFonts w:hint="eastAsia" w:eastAsia="方正黑体_GBK"/>
          <w:color w:val="000000" w:themeColor="text1"/>
          <w:sz w:val="32"/>
          <w:szCs w:val="32"/>
          <w14:textFill>
            <w14:solidFill>
              <w14:schemeClr w14:val="tx1"/>
            </w14:solidFill>
          </w14:textFill>
        </w:rPr>
        <w:t>水产品精深加工领域</w:t>
      </w:r>
      <w:r>
        <w:rPr>
          <w:rFonts w:hint="eastAsia"/>
          <w:color w:val="000000" w:themeColor="text1"/>
          <w:sz w:val="32"/>
          <w:szCs w:val="32"/>
          <w14:textFill>
            <w14:solidFill>
              <w14:schemeClr w14:val="tx1"/>
            </w14:solidFill>
          </w14:textFill>
        </w:rPr>
        <w:t>，提升鮰鱼、螃蟹、龙虾等特色淡水产品的精深加工水平，大力发展冻鱼片、冻虾、冷冻鱼糜及鱼糜制品、冷冻调理产品、各类罐头及软罐头、方便食品、小杂鱼制作鱼丸、虾精、虾露、虾油等调味品等特色产品。</w:t>
      </w:r>
      <w:r>
        <w:rPr>
          <w:rFonts w:hint="eastAsia" w:eastAsia="方正黑体_GBK"/>
          <w:color w:val="000000" w:themeColor="text1"/>
          <w:sz w:val="32"/>
          <w:szCs w:val="32"/>
          <w14:textFill>
            <w14:solidFill>
              <w14:schemeClr w14:val="tx1"/>
            </w14:solidFill>
          </w14:textFill>
        </w:rPr>
        <w:t>畜禽水产养殖设备领域</w:t>
      </w:r>
      <w:r>
        <w:rPr>
          <w:rFonts w:hint="eastAsia"/>
          <w:color w:val="000000" w:themeColor="text1"/>
          <w:sz w:val="32"/>
          <w:szCs w:val="32"/>
          <w14:textFill>
            <w14:solidFill>
              <w14:schemeClr w14:val="tx1"/>
            </w14:solidFill>
          </w14:textFill>
        </w:rPr>
        <w:t>，通过项目招引培育，发展基于物联网和人工智能新技术的自动喂料设备、自动饮水设备、通风降温设备、养殖供暖设备、环境控制设备、疾病诊断和防疫设备、渔具和渔网等产品，以及养殖大数据应用云平台。</w:t>
      </w:r>
      <w:r>
        <w:rPr>
          <w:rFonts w:hint="eastAsia" w:eastAsia="方正黑体_GBK"/>
          <w:color w:val="000000" w:themeColor="text1"/>
          <w:sz w:val="32"/>
          <w:szCs w:val="32"/>
          <w14:textFill>
            <w14:solidFill>
              <w14:schemeClr w14:val="tx1"/>
            </w14:solidFill>
          </w14:textFill>
        </w:rPr>
        <w:t>屠宰加工装备领域</w:t>
      </w:r>
      <w:r>
        <w:rPr>
          <w:rFonts w:hint="eastAsia"/>
          <w:color w:val="000000" w:themeColor="text1"/>
          <w:sz w:val="32"/>
          <w:szCs w:val="32"/>
          <w14:textFill>
            <w14:solidFill>
              <w14:schemeClr w14:val="tx1"/>
            </w14:solidFill>
          </w14:textFill>
        </w:rPr>
        <w:t>，通过项目招引培育，重点发展畜禽自动化屠宰、高效分割、冷冻保鲜及储存、新型杀菌保鲜等技术及成套设备。</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三、高端纺织产业</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依托沭阳县、泗阳县、宿豫区、宿城区等重点地区，重点发展化学纤维和纺织服装2个细分产业，力争到2025年产业规模突破1800亿元，建成特色产品品牌优势显著、产业链条完整的国家级高端纺织产业发展示范区，打响宿迁中国“新兴纺都”地标品牌。</w:t>
      </w:r>
    </w:p>
    <w:p>
      <w:pPr>
        <w:spacing w:line="580" w:lineRule="exact"/>
        <w:ind w:firstLine="640" w:firstLineChars="200"/>
        <w:rPr>
          <w:color w:val="000000" w:themeColor="text1"/>
          <w:sz w:val="32"/>
          <w:szCs w:val="32"/>
          <w14:textFill>
            <w14:solidFill>
              <w14:schemeClr w14:val="tx1"/>
            </w14:solidFill>
          </w14:textFill>
        </w:rPr>
      </w:pPr>
      <w:r>
        <w:rPr>
          <w:rFonts w:hint="eastAsia" w:eastAsia="方正楷体_GBK"/>
          <w:color w:val="000000" w:themeColor="text1"/>
          <w:sz w:val="32"/>
          <w:szCs w:val="32"/>
          <w14:textFill>
            <w14:solidFill>
              <w14:schemeClr w14:val="tx1"/>
            </w14:solidFill>
          </w14:textFill>
        </w:rPr>
        <w:t>1. 化学纤维。</w:t>
      </w:r>
      <w:r>
        <w:rPr>
          <w:rFonts w:hint="eastAsia"/>
          <w:color w:val="000000" w:themeColor="text1"/>
          <w:sz w:val="32"/>
          <w:szCs w:val="32"/>
          <w14:textFill>
            <w14:solidFill>
              <w14:schemeClr w14:val="tx1"/>
            </w14:solidFill>
          </w14:textFill>
        </w:rPr>
        <w:t>重点依托宿城区、宿豫区、泗阳县、沭阳县，围绕打造全国最大的纺织纤维生产基地的目标，积极发展差别化、功能性、高性能化学纤维产品，延伸发展化学纤维生产装备和化学纤维功能性复合材料，力争到2025年产业规模突破1000亿元，建成龙头企业影响力大、产业链条完整、高端产品品类齐全的化纤产业发展基地。其中，</w:t>
      </w:r>
      <w:r>
        <w:rPr>
          <w:rFonts w:hint="eastAsia" w:eastAsia="方正黑体_GBK"/>
          <w:color w:val="000000" w:themeColor="text1"/>
          <w:sz w:val="32"/>
          <w:szCs w:val="32"/>
          <w14:textFill>
            <w14:solidFill>
              <w14:schemeClr w14:val="tx1"/>
            </w14:solidFill>
          </w14:textFill>
        </w:rPr>
        <w:t>高性能化纤领域</w:t>
      </w:r>
      <w:r>
        <w:rPr>
          <w:rFonts w:hint="eastAsia"/>
          <w:color w:val="000000" w:themeColor="text1"/>
          <w:sz w:val="32"/>
          <w:szCs w:val="32"/>
          <w14:textFill>
            <w14:solidFill>
              <w14:schemeClr w14:val="tx1"/>
            </w14:solidFill>
          </w14:textFill>
        </w:rPr>
        <w:t>，大力推动恒力时尚产业园、国望高科、逸达新材料、赛得利、桐昆等重大项目建设，确保如期达产，尽快形成900万吨产能规模；进一步推动企业提高技术开发和产品创新能力，积极应用前沿新材料的技术成果，探索发展面向医疗卫生、环境保护、建筑工程、交通运输、应急安全、航空航天等领域的特种化学纤维。</w:t>
      </w:r>
      <w:r>
        <w:rPr>
          <w:rFonts w:hint="eastAsia" w:eastAsia="方正黑体_GBK"/>
          <w:color w:val="000000" w:themeColor="text1"/>
          <w:sz w:val="32"/>
          <w:szCs w:val="32"/>
          <w14:textFill>
            <w14:solidFill>
              <w14:schemeClr w14:val="tx1"/>
            </w14:solidFill>
          </w14:textFill>
        </w:rPr>
        <w:t>化纤生产装备领域</w:t>
      </w:r>
      <w:r>
        <w:rPr>
          <w:rFonts w:hint="eastAsia"/>
          <w:color w:val="000000" w:themeColor="text1"/>
          <w:sz w:val="32"/>
          <w:szCs w:val="32"/>
          <w14:textFill>
            <w14:solidFill>
              <w14:schemeClr w14:val="tx1"/>
            </w14:solidFill>
          </w14:textFill>
        </w:rPr>
        <w:t>，大力招引培育树脂制造设备、化纤长短丝制造及后加工设备、高性能复合纤维制造设备。</w:t>
      </w:r>
      <w:r>
        <w:rPr>
          <w:rFonts w:hint="eastAsia" w:eastAsia="方正黑体_GBK"/>
          <w:color w:val="000000" w:themeColor="text1"/>
          <w:sz w:val="32"/>
          <w:szCs w:val="32"/>
          <w14:textFill>
            <w14:solidFill>
              <w14:schemeClr w14:val="tx1"/>
            </w14:solidFill>
          </w14:textFill>
        </w:rPr>
        <w:t>化学纤维功能性复合材料领域</w:t>
      </w:r>
      <w:r>
        <w:rPr>
          <w:rFonts w:hint="eastAsia"/>
          <w:color w:val="000000" w:themeColor="text1"/>
          <w:sz w:val="32"/>
          <w:szCs w:val="32"/>
          <w14:textFill>
            <w14:solidFill>
              <w14:schemeClr w14:val="tx1"/>
            </w14:solidFill>
          </w14:textFill>
        </w:rPr>
        <w:t>，进一步强化弹性体及纤维产品技术优势，结合项目招引培育，大力发展功能化、差别化的树脂基、橡胶基纺织纤维复合材料，以及化纤与碳纤维、玻璃纤维等高性能纤维复合的新型纤维材料。</w:t>
      </w:r>
    </w:p>
    <w:p>
      <w:pPr>
        <w:spacing w:line="580" w:lineRule="exact"/>
        <w:ind w:firstLine="640" w:firstLineChars="200"/>
        <w:rPr>
          <w:color w:val="000000" w:themeColor="text1"/>
          <w:sz w:val="32"/>
          <w:szCs w:val="32"/>
          <w14:textFill>
            <w14:solidFill>
              <w14:schemeClr w14:val="tx1"/>
            </w14:solidFill>
          </w14:textFill>
        </w:rPr>
      </w:pPr>
      <w:r>
        <w:rPr>
          <w:rFonts w:hint="eastAsia" w:eastAsia="方正楷体_GBK"/>
          <w:color w:val="000000" w:themeColor="text1"/>
          <w:sz w:val="32"/>
          <w:szCs w:val="32"/>
          <w14:textFill>
            <w14:solidFill>
              <w14:schemeClr w14:val="tx1"/>
            </w14:solidFill>
          </w14:textFill>
        </w:rPr>
        <w:t>2. 纺织服装</w:t>
      </w:r>
      <w:r>
        <w:rPr>
          <w:rFonts w:hint="eastAsia"/>
          <w:color w:val="000000" w:themeColor="text1"/>
          <w:sz w:val="32"/>
          <w:szCs w:val="32"/>
          <w14:textFill>
            <w14:solidFill>
              <w14:schemeClr w14:val="tx1"/>
            </w14:solidFill>
          </w14:textFill>
        </w:rPr>
        <w:t>。重点依托沭阳县、泗阳县、宿豫区、宿城区，发挥化纤原料和高端面料基础优势，不断提高纺纱、织造、染整等环节的技术水平，强化新型面料的研发和应用，提高企业创意设计和品牌运营能力，大力打造家用纺织品、医用纺织品、高端服装服饰终端产品品牌，招引培育智能化纺织机械，力争到2025年产业规模突破800亿，建成特色产品品牌影响力大、集聚优势显著的纺织服装服饰产业基地。其中，</w:t>
      </w:r>
      <w:r>
        <w:rPr>
          <w:rFonts w:hint="eastAsia" w:eastAsia="方正黑体_GBK"/>
          <w:color w:val="000000" w:themeColor="text1"/>
          <w:sz w:val="32"/>
          <w:szCs w:val="32"/>
          <w14:textFill>
            <w14:solidFill>
              <w14:schemeClr w14:val="tx1"/>
            </w14:solidFill>
          </w14:textFill>
        </w:rPr>
        <w:t>纺纱、织造、染整领域</w:t>
      </w:r>
      <w:r>
        <w:rPr>
          <w:rFonts w:hint="eastAsia"/>
          <w:color w:val="000000" w:themeColor="text1"/>
          <w:sz w:val="32"/>
          <w:szCs w:val="32"/>
          <w14:textFill>
            <w14:solidFill>
              <w14:schemeClr w14:val="tx1"/>
            </w14:solidFill>
          </w14:textFill>
        </w:rPr>
        <w:t>，聚力提高棉、亚麻、涤纶、牛仔等特色面料产品的档次和附加值，鼓励和支持企业积极研发差异化、功能化、高仿真类新品纱线和面料产品。</w:t>
      </w:r>
      <w:r>
        <w:rPr>
          <w:rFonts w:hint="eastAsia" w:eastAsia="方正黑体_GBK"/>
          <w:color w:val="000000" w:themeColor="text1"/>
          <w:sz w:val="32"/>
          <w:szCs w:val="32"/>
          <w14:textFill>
            <w14:solidFill>
              <w14:schemeClr w14:val="tx1"/>
            </w14:solidFill>
          </w14:textFill>
        </w:rPr>
        <w:t>家用纺织品领域</w:t>
      </w:r>
      <w:r>
        <w:rPr>
          <w:rFonts w:hint="eastAsia"/>
          <w:color w:val="000000" w:themeColor="text1"/>
          <w:sz w:val="32"/>
          <w:szCs w:val="32"/>
          <w14:textFill>
            <w14:solidFill>
              <w14:schemeClr w14:val="tx1"/>
            </w14:solidFill>
          </w14:textFill>
        </w:rPr>
        <w:t>，大力发展多种纤维混纺和交织的牛仔面料、床上用品、窗帘布、墙布、桌布等特色产品。</w:t>
      </w:r>
      <w:r>
        <w:rPr>
          <w:rFonts w:hint="eastAsia" w:eastAsia="方正黑体_GBK"/>
          <w:color w:val="000000" w:themeColor="text1"/>
          <w:sz w:val="32"/>
          <w:szCs w:val="32"/>
          <w14:textFill>
            <w14:solidFill>
              <w14:schemeClr w14:val="tx1"/>
            </w14:solidFill>
          </w14:textFill>
        </w:rPr>
        <w:t>医用纺织品领域</w:t>
      </w:r>
      <w:r>
        <w:rPr>
          <w:rFonts w:hint="eastAsia"/>
          <w:color w:val="000000" w:themeColor="text1"/>
          <w:sz w:val="32"/>
          <w:szCs w:val="32"/>
          <w14:textFill>
            <w14:solidFill>
              <w14:schemeClr w14:val="tx1"/>
            </w14:solidFill>
          </w14:textFill>
        </w:rPr>
        <w:t>，发挥我市医用棉纱布、熔喷无纺布等面料产品基础优势，发展医用口罩、医用防护服等产品。</w:t>
      </w:r>
      <w:r>
        <w:rPr>
          <w:rFonts w:hint="eastAsia" w:eastAsia="方正黑体_GBK"/>
          <w:color w:val="000000" w:themeColor="text1"/>
          <w:sz w:val="32"/>
          <w:szCs w:val="32"/>
          <w14:textFill>
            <w14:solidFill>
              <w14:schemeClr w14:val="tx1"/>
            </w14:solidFill>
          </w14:textFill>
        </w:rPr>
        <w:t>特色服装领域</w:t>
      </w:r>
      <w:r>
        <w:rPr>
          <w:rFonts w:hint="eastAsia"/>
          <w:color w:val="000000" w:themeColor="text1"/>
          <w:sz w:val="32"/>
          <w:szCs w:val="32"/>
          <w14:textFill>
            <w14:solidFill>
              <w14:schemeClr w14:val="tx1"/>
            </w14:solidFill>
          </w14:textFill>
        </w:rPr>
        <w:t>，大力发展童装、工服、牛仔服、衬衣、针织服饰等特色服装产品，不断提高产品的安全性、舒适性、功能性。</w:t>
      </w:r>
      <w:r>
        <w:rPr>
          <w:rFonts w:hint="eastAsia" w:eastAsia="方正黑体_GBK"/>
          <w:color w:val="000000" w:themeColor="text1"/>
          <w:sz w:val="32"/>
          <w:szCs w:val="32"/>
          <w14:textFill>
            <w14:solidFill>
              <w14:schemeClr w14:val="tx1"/>
            </w14:solidFill>
          </w14:textFill>
        </w:rPr>
        <w:t>特色服饰领域</w:t>
      </w:r>
      <w:r>
        <w:rPr>
          <w:rFonts w:hint="eastAsia"/>
          <w:color w:val="000000" w:themeColor="text1"/>
          <w:sz w:val="32"/>
          <w:szCs w:val="32"/>
          <w14:textFill>
            <w14:solidFill>
              <w14:schemeClr w14:val="tx1"/>
            </w14:solidFill>
          </w14:textFill>
        </w:rPr>
        <w:t>，重点发展针织袜、针织帽等特色产品。</w:t>
      </w:r>
      <w:r>
        <w:rPr>
          <w:rFonts w:hint="eastAsia" w:eastAsia="方正黑体_GBK"/>
          <w:color w:val="000000" w:themeColor="text1"/>
          <w:sz w:val="32"/>
          <w:szCs w:val="32"/>
          <w14:textFill>
            <w14:solidFill>
              <w14:schemeClr w14:val="tx1"/>
            </w14:solidFill>
          </w14:textFill>
        </w:rPr>
        <w:t>纺织机械领域</w:t>
      </w:r>
      <w:r>
        <w:rPr>
          <w:rFonts w:hint="eastAsia"/>
          <w:color w:val="000000" w:themeColor="text1"/>
          <w:sz w:val="32"/>
          <w:szCs w:val="32"/>
          <w14:textFill>
            <w14:solidFill>
              <w14:schemeClr w14:val="tx1"/>
            </w14:solidFill>
          </w14:textFill>
        </w:rPr>
        <w:t>，重点发展自动化、连续化、智能化的纺纱设备，满足面料个性化、功能化、细分化和小批量生产需求的改良型剑杆织机，以及烧毛机、煮联机，染色机、印花机、拉宽机、印蜡机、压光机等印染机械。</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四、光伏新能源产业</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重点依托宿迁经开区、泗洪县、苏宿园区等重点地区，聚焦“新基建”发展需求，大力发展光伏原材料、电池组件、配套部件，强化企业间协同配套，积极拓展光伏发电设备在交通、通讯、采矿、海洋、气象等领域的应用，力争到2025年产业规模突破1000亿元，建成全国规模最大的光伏新能源生产基地，成为名副其实的中国“光伏之都”。其中，</w:t>
      </w:r>
      <w:r>
        <w:rPr>
          <w:rFonts w:hint="eastAsia" w:eastAsia="方正黑体_GBK"/>
          <w:color w:val="000000" w:themeColor="text1"/>
          <w:sz w:val="32"/>
          <w:szCs w:val="32"/>
          <w14:textFill>
            <w14:solidFill>
              <w14:schemeClr w14:val="tx1"/>
            </w14:solidFill>
          </w14:textFill>
        </w:rPr>
        <w:t>光伏原材料领域</w:t>
      </w:r>
      <w:r>
        <w:rPr>
          <w:rFonts w:hint="eastAsia"/>
          <w:color w:val="000000" w:themeColor="text1"/>
          <w:sz w:val="32"/>
          <w:szCs w:val="32"/>
          <w14:textFill>
            <w14:solidFill>
              <w14:schemeClr w14:val="tx1"/>
            </w14:solidFill>
          </w14:textFill>
        </w:rPr>
        <w:t>，鼓励和支持企业进行技术攻关及改造，重点突破硅烷流化床法制备等单晶硅生产技术、直拉法单晶硅生产工艺，进一步强化硅棒、硅碇、硅片等产品的工艺及技术优势；进一步强化光伏玻璃产品技术优势，不断提高产品透光率、导电性能、耐腐蚀性、使用寿命等关键性能；大力招引培育焊带、背板、银浆等领域的研发和产业化项目，提升光伏产业原材料配套能力。</w:t>
      </w:r>
      <w:r>
        <w:rPr>
          <w:rFonts w:hint="eastAsia" w:eastAsia="方正黑体_GBK"/>
          <w:color w:val="000000" w:themeColor="text1"/>
          <w:sz w:val="32"/>
          <w:szCs w:val="32"/>
          <w14:textFill>
            <w14:solidFill>
              <w14:schemeClr w14:val="tx1"/>
            </w14:solidFill>
          </w14:textFill>
        </w:rPr>
        <w:t>光伏电池组件领域</w:t>
      </w:r>
      <w:r>
        <w:rPr>
          <w:rFonts w:hint="eastAsia"/>
          <w:color w:val="000000" w:themeColor="text1"/>
          <w:sz w:val="32"/>
          <w:szCs w:val="32"/>
          <w14:textFill>
            <w14:solidFill>
              <w14:schemeClr w14:val="tx1"/>
            </w14:solidFill>
          </w14:textFill>
        </w:rPr>
        <w:t>，重点突破黑硅、全背电极（IBC）、高效背钝化（PERC）、发射极钝化和全背面扩散（PERT）、隧穿氧化层钝化接触（TOPCON）、异质结（HJT）、金属穿孔卷绕（MWT）、双面电池、新型薄膜电池等高效电池生产技术，强化电池片生产实力；重点突破多主栅、半片电池片、超薄玻璃双玻、叠瓦、分布式光伏建筑一体化等组件生产技术，进一步提升组件生产水平。</w:t>
      </w:r>
      <w:r>
        <w:rPr>
          <w:rFonts w:hint="eastAsia" w:eastAsia="方正黑体_GBK"/>
          <w:color w:val="000000" w:themeColor="text1"/>
          <w:sz w:val="32"/>
          <w:szCs w:val="32"/>
          <w14:textFill>
            <w14:solidFill>
              <w14:schemeClr w14:val="tx1"/>
            </w14:solidFill>
          </w14:textFill>
        </w:rPr>
        <w:t>配套部件领域</w:t>
      </w:r>
      <w:r>
        <w:rPr>
          <w:rFonts w:hint="eastAsia"/>
          <w:color w:val="000000" w:themeColor="text1"/>
          <w:sz w:val="32"/>
          <w:szCs w:val="32"/>
          <w14:textFill>
            <w14:solidFill>
              <w14:schemeClr w14:val="tx1"/>
            </w14:solidFill>
          </w14:textFill>
        </w:rPr>
        <w:t>，围绕光伏设备产品配套需求，重点招引培育高效率、长寿命、高可靠性的光伏逆变器，以及具有汇流、防雷、监控、警报、数据采集、无线数据传输等多种优点的第三代汇流箱研发和产业化项目。</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五、绿色家居产业</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依托沭阳县、泗阳县和宿城区等重点地区，重点发展高端家居和绿色建材2个细分产业，力争到2025年产业规模突破800亿元，建成长三角地区一流的高端绿色家居产业发展示范区。</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1</w:t>
      </w:r>
      <w:r>
        <w:rPr>
          <w:rFonts w:hint="eastAsia" w:eastAsia="方正楷体_GBK"/>
          <w:color w:val="000000" w:themeColor="text1"/>
          <w:sz w:val="32"/>
          <w:szCs w:val="32"/>
          <w14:textFill>
            <w14:solidFill>
              <w14:schemeClr w14:val="tx1"/>
            </w14:solidFill>
          </w14:textFill>
        </w:rPr>
        <w:t>．高端家居</w:t>
      </w:r>
      <w:r>
        <w:rPr>
          <w:rFonts w:hint="eastAsia"/>
          <w:color w:val="000000" w:themeColor="text1"/>
          <w:sz w:val="32"/>
          <w:szCs w:val="32"/>
          <w14:textFill>
            <w14:solidFill>
              <w14:schemeClr w14:val="tx1"/>
            </w14:solidFill>
          </w14:textFill>
        </w:rPr>
        <w:t>。重点依托沭阳县、泗阳县和宿城区，大力推动企业引入智能化、绿色化、安全化的新技术、新装备和新工艺，进一步扩大胶合板、刨花板、密度板等领域技术优势，进一步提升企业管理水平和产品质量水平；围绕地板、家具等终端产品发展需求，持续提高家居设计制造水平，增强五金件配套能力，推动有条件的本地龙头企业通过实施股权合作与兼并重组，整合行业资源，带动产业集约集聚发展，力争到2025年产业规模突破650亿元，建成终端品牌产品影响大、智能化绿色化发展水平高、安全生产体系完备的高端家居产业基地。其中，</w:t>
      </w:r>
      <w:r>
        <w:rPr>
          <w:rFonts w:hint="eastAsia" w:eastAsia="方正黑体_GBK"/>
          <w:color w:val="000000" w:themeColor="text1"/>
          <w:sz w:val="32"/>
          <w:szCs w:val="32"/>
          <w14:textFill>
            <w14:solidFill>
              <w14:schemeClr w14:val="tx1"/>
            </w14:solidFill>
          </w14:textFill>
        </w:rPr>
        <w:t>家具领域</w:t>
      </w:r>
      <w:r>
        <w:rPr>
          <w:rFonts w:hint="eastAsia"/>
          <w:color w:val="000000" w:themeColor="text1"/>
          <w:sz w:val="32"/>
          <w:szCs w:val="32"/>
          <w14:textFill>
            <w14:solidFill>
              <w14:schemeClr w14:val="tx1"/>
            </w14:solidFill>
          </w14:textFill>
        </w:rPr>
        <w:t>，推广使用生态环保型板材，发展绿色环保家具产品；推动企业提高家具产品研发设计能力，生产出具有较高艺术内涵和审美功能的家具产品。</w:t>
      </w:r>
      <w:r>
        <w:rPr>
          <w:rFonts w:hint="eastAsia" w:eastAsia="方正黑体_GBK"/>
          <w:color w:val="000000" w:themeColor="text1"/>
          <w:sz w:val="32"/>
          <w:szCs w:val="32"/>
          <w14:textFill>
            <w14:solidFill>
              <w14:schemeClr w14:val="tx1"/>
            </w14:solidFill>
          </w14:textFill>
        </w:rPr>
        <w:t>地板领域</w:t>
      </w:r>
      <w:r>
        <w:rPr>
          <w:rFonts w:hint="eastAsia"/>
          <w:color w:val="000000" w:themeColor="text1"/>
          <w:sz w:val="32"/>
          <w:szCs w:val="32"/>
          <w14:textFill>
            <w14:solidFill>
              <w14:schemeClr w14:val="tx1"/>
            </w14:solidFill>
          </w14:textFill>
        </w:rPr>
        <w:t>，重点发展无醛添加多层复合地板、强化木地板、抗菌地板、净化空气地板、负离子地板、石墨烯等地热地板、实木地热地板、超耐磨高稳定性地板、木质单板复合石塑地板、拼花地板、正交胶合木、工业化集成木梁等新产品。</w:t>
      </w:r>
      <w:r>
        <w:rPr>
          <w:rFonts w:hint="eastAsia" w:eastAsia="方正黑体_GBK"/>
          <w:color w:val="000000" w:themeColor="text1"/>
          <w:sz w:val="32"/>
          <w:szCs w:val="32"/>
          <w14:textFill>
            <w14:solidFill>
              <w14:schemeClr w14:val="tx1"/>
            </w14:solidFill>
          </w14:textFill>
        </w:rPr>
        <w:t>胶合板领域</w:t>
      </w:r>
      <w:r>
        <w:rPr>
          <w:rFonts w:hint="eastAsia"/>
          <w:color w:val="000000" w:themeColor="text1"/>
          <w:sz w:val="32"/>
          <w:szCs w:val="32"/>
          <w14:textFill>
            <w14:solidFill>
              <w14:schemeClr w14:val="tx1"/>
            </w14:solidFill>
          </w14:textFill>
        </w:rPr>
        <w:t>，重点发展具备阻燃、吸声隔音、保温隔热功能的新型产品，以及高铁、乐器等专业的高附加值产品。</w:t>
      </w:r>
      <w:r>
        <w:rPr>
          <w:rFonts w:hint="eastAsia" w:eastAsia="方正黑体_GBK"/>
          <w:color w:val="000000" w:themeColor="text1"/>
          <w:sz w:val="32"/>
          <w:szCs w:val="32"/>
          <w14:textFill>
            <w14:solidFill>
              <w14:schemeClr w14:val="tx1"/>
            </w14:solidFill>
          </w14:textFill>
        </w:rPr>
        <w:t>刨花板领域</w:t>
      </w:r>
      <w:r>
        <w:rPr>
          <w:rFonts w:hint="eastAsia"/>
          <w:color w:val="000000" w:themeColor="text1"/>
          <w:sz w:val="32"/>
          <w:szCs w:val="32"/>
          <w14:textFill>
            <w14:solidFill>
              <w14:schemeClr w14:val="tx1"/>
            </w14:solidFill>
          </w14:textFill>
        </w:rPr>
        <w:t>，重点发展轻钢别墅用或木结构用定向刨花板、可饰面定向刨花板、吸声隔音刨花板、超耐水性和耐久性刨花板、特殊原料刨花板、模压托盘刨花板等高端功能性刨花板产品。</w:t>
      </w:r>
      <w:r>
        <w:rPr>
          <w:rFonts w:hint="eastAsia" w:eastAsia="方正黑体_GBK"/>
          <w:color w:val="000000" w:themeColor="text1"/>
          <w:sz w:val="32"/>
          <w:szCs w:val="32"/>
          <w14:textFill>
            <w14:solidFill>
              <w14:schemeClr w14:val="tx1"/>
            </w14:solidFill>
          </w14:textFill>
        </w:rPr>
        <w:t>纤维板领域</w:t>
      </w:r>
      <w:r>
        <w:rPr>
          <w:rFonts w:hint="eastAsia"/>
          <w:color w:val="000000" w:themeColor="text1"/>
          <w:sz w:val="32"/>
          <w:szCs w:val="32"/>
          <w14:textFill>
            <w14:solidFill>
              <w14:schemeClr w14:val="tx1"/>
            </w14:solidFill>
          </w14:textFill>
        </w:rPr>
        <w:t>，重点发展具备保温隔热、阻燃等功能的功能型产品，以及轻质、超薄、异型等新产品。</w:t>
      </w:r>
      <w:r>
        <w:rPr>
          <w:rFonts w:hint="eastAsia" w:eastAsia="方正黑体_GBK"/>
          <w:color w:val="000000" w:themeColor="text1"/>
          <w:sz w:val="32"/>
          <w:szCs w:val="32"/>
          <w14:textFill>
            <w14:solidFill>
              <w14:schemeClr w14:val="tx1"/>
            </w14:solidFill>
          </w14:textFill>
        </w:rPr>
        <w:t>五金配件领域</w:t>
      </w:r>
      <w:r>
        <w:rPr>
          <w:rFonts w:hint="eastAsia"/>
          <w:color w:val="000000" w:themeColor="text1"/>
          <w:sz w:val="32"/>
          <w:szCs w:val="32"/>
          <w14:textFill>
            <w14:solidFill>
              <w14:schemeClr w14:val="tx1"/>
            </w14:solidFill>
          </w14:textFill>
        </w:rPr>
        <w:t>，通过项目招引培育，重点发展锁、提环、铰链、滑轨、面叶、扭头、吊牌、足套、紧固件、装饰件等家居配套五金产品及智能化五金工具。</w:t>
      </w:r>
    </w:p>
    <w:tbl>
      <w:tblPr>
        <w:tblStyle w:val="25"/>
        <w:tblW w:w="894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46" w:type="dxa"/>
            <w:noWrap/>
          </w:tcPr>
          <w:p>
            <w:pPr>
              <w:spacing w:line="580" w:lineRule="exact"/>
              <w:jc w:val="center"/>
              <w:rPr>
                <w:rFonts w:eastAsia="方正黑体_GBK"/>
                <w:color w:val="000000" w:themeColor="text1"/>
                <w:sz w:val="28"/>
                <w:szCs w:val="28"/>
                <w14:textFill>
                  <w14:solidFill>
                    <w14:schemeClr w14:val="tx1"/>
                  </w14:solidFill>
                </w14:textFill>
              </w:rPr>
            </w:pPr>
            <w:r>
              <w:rPr>
                <w:rFonts w:eastAsia="方正黑体_GBK"/>
                <w:color w:val="000000" w:themeColor="text1"/>
                <w:sz w:val="28"/>
                <w:szCs w:val="28"/>
                <w14:textFill>
                  <w14:solidFill>
                    <w14:schemeClr w14:val="tx1"/>
                  </w14:solidFill>
                </w14:textFill>
              </w:rPr>
              <w:t>专栏4-</w:t>
            </w:r>
            <w:r>
              <w:rPr>
                <w:rFonts w:hint="eastAsia" w:eastAsia="方正黑体_GBK"/>
                <w:color w:val="000000" w:themeColor="text1"/>
                <w:sz w:val="28"/>
                <w:szCs w:val="28"/>
                <w14:textFill>
                  <w14:solidFill>
                    <w14:schemeClr w14:val="tx1"/>
                  </w14:solidFill>
                </w14:textFill>
              </w:rPr>
              <w:t>2</w:t>
            </w:r>
            <w:r>
              <w:rPr>
                <w:rFonts w:eastAsia="方正黑体_GBK"/>
                <w:color w:val="000000" w:themeColor="text1"/>
                <w:sz w:val="28"/>
                <w:szCs w:val="28"/>
                <w14:textFill>
                  <w14:solidFill>
                    <w14:schemeClr w14:val="tx1"/>
                  </w14:solidFill>
                </w14:textFill>
              </w:rPr>
              <w:t xml:space="preserve">  实施</w:t>
            </w:r>
            <w:r>
              <w:rPr>
                <w:rFonts w:hint="eastAsia" w:eastAsia="方正黑体_GBK"/>
                <w:color w:val="000000" w:themeColor="text1"/>
                <w:sz w:val="28"/>
                <w:szCs w:val="28"/>
                <w14:textFill>
                  <w14:solidFill>
                    <w14:schemeClr w14:val="tx1"/>
                  </w14:solidFill>
                </w14:textFill>
              </w:rPr>
              <w:t>木材加工（家具制造）产业转型升级和专项整治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3" w:hRule="atLeast"/>
        </w:trPr>
        <w:tc>
          <w:tcPr>
            <w:tcW w:w="8946" w:type="dxa"/>
            <w:noWrap/>
          </w:tcPr>
          <w:p>
            <w:pPr>
              <w:spacing w:line="400" w:lineRule="exact"/>
              <w:ind w:firstLine="560" w:firstLineChars="200"/>
              <w:jc w:val="left"/>
              <w:rPr>
                <w:color w:val="000000" w:themeColor="text1"/>
                <w:kern w:val="0"/>
                <w:sz w:val="28"/>
                <w:szCs w:val="28"/>
                <w14:textFill>
                  <w14:solidFill>
                    <w14:schemeClr w14:val="tx1"/>
                  </w14:solidFill>
                </w14:textFill>
              </w:rPr>
            </w:pPr>
            <w:r>
              <w:rPr>
                <w:rFonts w:hint="eastAsia"/>
                <w:color w:val="000000" w:themeColor="text1"/>
                <w:kern w:val="0"/>
                <w:sz w:val="28"/>
                <w:szCs w:val="28"/>
                <w14:textFill>
                  <w14:solidFill>
                    <w14:schemeClr w14:val="tx1"/>
                  </w14:solidFill>
                </w14:textFill>
              </w:rPr>
              <w:t>为扎实推动全市木材加工（家具制造）产业转型升级，确立“绿色环保、本质安全、产业升级、提质增效”发展目标，综合运用法治化和市场化手段，提升木材加工和家具制造产业安全环保水平，制订出台人造板制造、木制品及家具制造、木材加工等三类企业转型升级标准，从产业政策、安全环保、技术工艺等方面提出63条细化要求，引导企业对照标准制定“一企一案”，推动开展整治提升。规划“三区四核十五点”的产业发展板块，作为产业重点发展园区。力争通过专项整治，全面消除木材加工和家具制造企业重大安全环保隐患，推动产业向集中化、大型化、特色化、基地化、品牌化方向发展，实现安全隐患全面消除、污染排放全面达标、产业结构布局全面优化、产品质量全面提升，建设全国知名、具有区域特色和影响力的木材加工和家居制造基地。到2022年，全市木材加工和家具制造产业产值达到600亿元以上，再通过5年的努力，实现千亿级产业目标；规模以上企业达到500户以上，销售收入超10亿元企业超过10户以上，销售收入超5亿元企业20户以上，销售收入超1亿元企业超过250户以上。</w:t>
            </w:r>
          </w:p>
        </w:tc>
      </w:tr>
    </w:tbl>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2</w:t>
      </w:r>
      <w:r>
        <w:rPr>
          <w:rFonts w:hint="eastAsia" w:eastAsia="方正楷体_GBK"/>
          <w:color w:val="000000" w:themeColor="text1"/>
          <w:sz w:val="32"/>
          <w:szCs w:val="32"/>
          <w14:textFill>
            <w14:solidFill>
              <w14:schemeClr w14:val="tx1"/>
            </w14:solidFill>
          </w14:textFill>
        </w:rPr>
        <w:t>．绿色建材</w:t>
      </w:r>
      <w:r>
        <w:rPr>
          <w:rFonts w:hint="eastAsia"/>
          <w:color w:val="000000" w:themeColor="text1"/>
          <w:sz w:val="32"/>
          <w:szCs w:val="32"/>
          <w14:textFill>
            <w14:solidFill>
              <w14:schemeClr w14:val="tx1"/>
            </w14:solidFill>
          </w14:textFill>
        </w:rPr>
        <w:t>。重点依托宿城区，围绕绿色建筑产业应用需求，推动企业持续加强技术研发、提高产品质量，进一步发展壮大混凝土预制件、墙板、环保装饰材料等优势特色产品；紧跟绿色建材产品的智能化、环保化、功能化发展趋势，发展新型绿色建筑功能材料等高附加值的产品，力争到2025年产业规模突破150亿元，建成特色产品优势显著、研发创新能力强、高端产品占比大的绿色建材产业集聚区。其中，</w:t>
      </w:r>
      <w:r>
        <w:rPr>
          <w:rFonts w:hint="eastAsia" w:eastAsia="方正黑体_GBK"/>
          <w:color w:val="000000" w:themeColor="text1"/>
          <w:sz w:val="32"/>
          <w:szCs w:val="32"/>
          <w14:textFill>
            <w14:solidFill>
              <w14:schemeClr w14:val="tx1"/>
            </w14:solidFill>
          </w14:textFill>
        </w:rPr>
        <w:t>混凝土预制件领域</w:t>
      </w:r>
      <w:r>
        <w:rPr>
          <w:rFonts w:hint="eastAsia"/>
          <w:color w:val="000000" w:themeColor="text1"/>
          <w:sz w:val="32"/>
          <w:szCs w:val="32"/>
          <w14:textFill>
            <w14:solidFill>
              <w14:schemeClr w14:val="tx1"/>
            </w14:solidFill>
          </w14:textFill>
        </w:rPr>
        <w:t>，重点发展预制外墙、整体厨卫、飘窗、叠合阳台、预制楼梯段、预制U型梁等产品，加强技术研发，不断提高预制件产品通用性、预制率和抗震性能，提高生产工艺智能化、绿色化水平。</w:t>
      </w:r>
      <w:r>
        <w:rPr>
          <w:rFonts w:hint="eastAsia" w:eastAsia="方正黑体_GBK"/>
          <w:color w:val="000000" w:themeColor="text1"/>
          <w:sz w:val="32"/>
          <w:szCs w:val="32"/>
          <w14:textFill>
            <w14:solidFill>
              <w14:schemeClr w14:val="tx1"/>
            </w14:solidFill>
          </w14:textFill>
        </w:rPr>
        <w:t>墙板领域</w:t>
      </w:r>
      <w:r>
        <w:rPr>
          <w:rFonts w:hint="eastAsia"/>
          <w:color w:val="000000" w:themeColor="text1"/>
          <w:sz w:val="32"/>
          <w:szCs w:val="32"/>
          <w14:textFill>
            <w14:solidFill>
              <w14:schemeClr w14:val="tx1"/>
            </w14:solidFill>
          </w14:textFill>
        </w:rPr>
        <w:t>，重点发展纤维水泥夹芯复合墙板、玻璃纤维建筑用轻质隔墙板、玻璃纤维增强水泥轻质多孔隔墙板、新型绿色建筑装饰玻璃等。</w:t>
      </w:r>
      <w:r>
        <w:rPr>
          <w:rFonts w:hint="eastAsia" w:eastAsia="方正黑体_GBK"/>
          <w:color w:val="000000" w:themeColor="text1"/>
          <w:sz w:val="32"/>
          <w:szCs w:val="32"/>
          <w14:textFill>
            <w14:solidFill>
              <w14:schemeClr w14:val="tx1"/>
            </w14:solidFill>
          </w14:textFill>
        </w:rPr>
        <w:t>环保装饰材料领域</w:t>
      </w:r>
      <w:r>
        <w:rPr>
          <w:rFonts w:hint="eastAsia"/>
          <w:color w:val="000000" w:themeColor="text1"/>
          <w:sz w:val="32"/>
          <w:szCs w:val="32"/>
          <w14:textFill>
            <w14:solidFill>
              <w14:schemeClr w14:val="tx1"/>
            </w14:solidFill>
          </w14:textFill>
        </w:rPr>
        <w:t>，重点发展绿色装饰混凝土和石材、绿色装饰瓦材，以及胶粉聚苯颗粒保温系统、EPS颗粒保温浆料系统等新型绿色保温隔热材料。</w:t>
      </w:r>
      <w:r>
        <w:rPr>
          <w:rFonts w:hint="eastAsia" w:eastAsia="方正黑体_GBK"/>
          <w:color w:val="000000" w:themeColor="text1"/>
          <w:sz w:val="32"/>
          <w:szCs w:val="32"/>
          <w14:textFill>
            <w14:solidFill>
              <w14:schemeClr w14:val="tx1"/>
            </w14:solidFill>
          </w14:textFill>
        </w:rPr>
        <w:t>新型绿色建筑功能材料领域</w:t>
      </w:r>
      <w:r>
        <w:rPr>
          <w:rFonts w:hint="eastAsia"/>
          <w:color w:val="000000" w:themeColor="text1"/>
          <w:sz w:val="32"/>
          <w:szCs w:val="32"/>
          <w14:textFill>
            <w14:solidFill>
              <w14:schemeClr w14:val="tx1"/>
            </w14:solidFill>
          </w14:textFill>
        </w:rPr>
        <w:t>，瞄准绿色建材产品智能化、环保性、功能性的发展趋势，通过项目招引，重点发展智能家居材料、智能遮阳材料、新能源建筑材料等前沿绿色建材。</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六、新材料产业</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依托市湖滨新区、宿豫区、沭阳县、泗阳县、泗洪县等重点地区，重点发展膜材料、有机新材料、功能玻璃材料、金属材料等4个细分产业，力争到2025年产业规模突破800亿元，建成长三角地区重要的新材料产业发展集聚区。</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1</w:t>
      </w:r>
      <w:r>
        <w:rPr>
          <w:rFonts w:hint="eastAsia" w:eastAsia="方正楷体_GBK"/>
          <w:color w:val="000000" w:themeColor="text1"/>
          <w:sz w:val="32"/>
          <w:szCs w:val="32"/>
          <w14:textFill>
            <w14:solidFill>
              <w14:schemeClr w14:val="tx1"/>
            </w14:solidFill>
          </w14:textFill>
        </w:rPr>
        <w:t>．膜材料</w:t>
      </w:r>
      <w:r>
        <w:rPr>
          <w:rFonts w:hint="eastAsia"/>
          <w:color w:val="000000" w:themeColor="text1"/>
          <w:sz w:val="32"/>
          <w:szCs w:val="32"/>
          <w14:textFill>
            <w14:solidFill>
              <w14:schemeClr w14:val="tx1"/>
            </w14:solidFill>
          </w14:textFill>
        </w:rPr>
        <w:t>。重点依托市湖滨新区、泗洪县、宿豫区、沭阳县，围绕节能环保、新能源、电子信息、节能玻璃等领域的高端需求，发挥我市产业链齐全、产品品类多的优势，进一步发展壮大新型包装材料、光学膜、BOPET膜和BOPP膜等特色产品，培育电子功能膜、分离膜等附加值高的新产品，推动产业高端化发展，力争到2025年产业规模突破350亿元，建成自主创新能力强、高端产品品类全、协同发展水平高的功能性膜材料产业基地。</w:t>
      </w:r>
      <w:r>
        <w:rPr>
          <w:rFonts w:hint="eastAsia" w:eastAsia="方正黑体_GBK"/>
          <w:color w:val="000000" w:themeColor="text1"/>
          <w:sz w:val="32"/>
          <w:szCs w:val="32"/>
          <w14:textFill>
            <w14:solidFill>
              <w14:schemeClr w14:val="tx1"/>
            </w14:solidFill>
          </w14:textFill>
        </w:rPr>
        <w:t>新型包装材料领域</w:t>
      </w:r>
      <w:r>
        <w:rPr>
          <w:rFonts w:hint="eastAsia"/>
          <w:color w:val="000000" w:themeColor="text1"/>
          <w:sz w:val="32"/>
          <w:szCs w:val="32"/>
          <w14:textFill>
            <w14:solidFill>
              <w14:schemeClr w14:val="tx1"/>
            </w14:solidFill>
          </w14:textFill>
        </w:rPr>
        <w:t>，进一步强化镭膜等新型包装材料的技术优势，提升防伪、防尘、防油、防水、防冲击、抗穿刺、绿色环保等性能。</w:t>
      </w:r>
      <w:r>
        <w:rPr>
          <w:rFonts w:hint="eastAsia" w:eastAsia="方正黑体_GBK"/>
          <w:color w:val="000000" w:themeColor="text1"/>
          <w:sz w:val="32"/>
          <w:szCs w:val="32"/>
          <w14:textFill>
            <w14:solidFill>
              <w14:schemeClr w14:val="tx1"/>
            </w14:solidFill>
          </w14:textFill>
        </w:rPr>
        <w:t>光学膜领域</w:t>
      </w:r>
      <w:r>
        <w:rPr>
          <w:rFonts w:hint="eastAsia"/>
          <w:color w:val="000000" w:themeColor="text1"/>
          <w:sz w:val="32"/>
          <w:szCs w:val="32"/>
          <w14:textFill>
            <w14:solidFill>
              <w14:schemeClr w14:val="tx1"/>
            </w14:solidFill>
          </w14:textFill>
        </w:rPr>
        <w:t>，进一步提高增透、反射、分光、分色、带通等各类光学薄膜产品的质量，提升产品国产替代率。</w:t>
      </w:r>
      <w:r>
        <w:rPr>
          <w:rFonts w:hint="eastAsia" w:ascii="方正黑体_GBK" w:hAnsi="方正黑体_GBK" w:eastAsia="方正黑体_GBK" w:cs="方正黑体_GBK"/>
          <w:color w:val="000000" w:themeColor="text1"/>
          <w:sz w:val="32"/>
          <w:szCs w:val="32"/>
          <w14:textFill>
            <w14:solidFill>
              <w14:schemeClr w14:val="tx1"/>
            </w14:solidFill>
          </w14:textFill>
        </w:rPr>
        <w:t>BOPET膜和BOPP膜领域</w:t>
      </w:r>
      <w:r>
        <w:rPr>
          <w:rFonts w:hint="eastAsia"/>
          <w:color w:val="000000" w:themeColor="text1"/>
          <w:sz w:val="32"/>
          <w:szCs w:val="32"/>
          <w14:textFill>
            <w14:solidFill>
              <w14:schemeClr w14:val="tx1"/>
            </w14:solidFill>
          </w14:textFill>
        </w:rPr>
        <w:t>，强化BOPET膜及BOPP薄膜的工艺及技术优势，推动企业开发新产品、改善膜性能、提高膜性能控制指标。</w:t>
      </w:r>
      <w:r>
        <w:rPr>
          <w:rFonts w:hint="eastAsia" w:eastAsia="方正黑体_GBK"/>
          <w:color w:val="000000" w:themeColor="text1"/>
          <w:sz w:val="32"/>
          <w:szCs w:val="32"/>
          <w14:textFill>
            <w14:solidFill>
              <w14:schemeClr w14:val="tx1"/>
            </w14:solidFill>
          </w14:textFill>
        </w:rPr>
        <w:t>电子功能膜领域</w:t>
      </w:r>
      <w:r>
        <w:rPr>
          <w:rFonts w:hint="eastAsia"/>
          <w:color w:val="000000" w:themeColor="text1"/>
          <w:sz w:val="32"/>
          <w:szCs w:val="32"/>
          <w14:textFill>
            <w14:solidFill>
              <w14:schemeClr w14:val="tx1"/>
            </w14:solidFill>
          </w14:textFill>
        </w:rPr>
        <w:t>，通过项目招引，瞄准电子产品透明化、柔性化、人机交互、可穿戴化的方向发展，重点发展轻质化、大型化、超薄化和柔性化的电子功能膜。</w:t>
      </w:r>
      <w:r>
        <w:rPr>
          <w:rFonts w:hint="eastAsia" w:eastAsia="方正黑体_GBK"/>
          <w:color w:val="000000" w:themeColor="text1"/>
          <w:sz w:val="32"/>
          <w:szCs w:val="32"/>
          <w14:textFill>
            <w14:solidFill>
              <w14:schemeClr w14:val="tx1"/>
            </w14:solidFill>
          </w14:textFill>
        </w:rPr>
        <w:t>分离膜领域</w:t>
      </w:r>
      <w:r>
        <w:rPr>
          <w:rFonts w:hint="eastAsia"/>
          <w:color w:val="000000" w:themeColor="text1"/>
          <w:sz w:val="32"/>
          <w:szCs w:val="32"/>
          <w14:textFill>
            <w14:solidFill>
              <w14:schemeClr w14:val="tx1"/>
            </w14:solidFill>
          </w14:textFill>
        </w:rPr>
        <w:t>，通过项目招引，根据分离膜高选择性、高透过性等发展趋势和应用前景，重点发展特种分离膜。</w:t>
      </w:r>
    </w:p>
    <w:p>
      <w:pPr>
        <w:spacing w:line="580" w:lineRule="exact"/>
        <w:ind w:firstLine="640" w:firstLineChars="200"/>
        <w:rPr>
          <w:color w:val="000000" w:themeColor="text1"/>
          <w:sz w:val="32"/>
          <w:szCs w:val="32"/>
          <w14:textFill>
            <w14:solidFill>
              <w14:schemeClr w14:val="tx1"/>
            </w14:solidFill>
          </w14:textFill>
        </w:rPr>
      </w:pPr>
      <w:r>
        <w:rPr>
          <w:rFonts w:hint="eastAsia" w:eastAsia="方正楷体_GBK"/>
          <w:color w:val="000000" w:themeColor="text1"/>
          <w:sz w:val="32"/>
          <w:szCs w:val="32"/>
          <w14:textFill>
            <w14:solidFill>
              <w14:schemeClr w14:val="tx1"/>
            </w14:solidFill>
          </w14:textFill>
        </w:rPr>
        <w:t>2．有机新材料</w:t>
      </w:r>
      <w:r>
        <w:rPr>
          <w:rFonts w:hint="eastAsia"/>
          <w:color w:val="000000" w:themeColor="text1"/>
          <w:sz w:val="32"/>
          <w:szCs w:val="32"/>
          <w14:textFill>
            <w14:solidFill>
              <w14:schemeClr w14:val="tx1"/>
            </w14:solidFill>
          </w14:textFill>
        </w:rPr>
        <w:t>。</w:t>
      </w:r>
      <w:r>
        <w:rPr>
          <w:bCs/>
          <w:color w:val="000000" w:themeColor="text1"/>
          <w:sz w:val="32"/>
          <w:szCs w:val="32"/>
          <w14:textFill>
            <w14:solidFill>
              <w14:schemeClr w14:val="tx1"/>
            </w14:solidFill>
          </w14:textFill>
        </w:rPr>
        <w:t>重点依托宿迁生态化工园区，通过培大育强、兼并重组、股改上市等方式，推动化工产业全面升级，不断提高安全环保和精细化水平，大力发展基础化工材料、功能助剂材料、电子化工材料等特色产品，力争到2025年产业规模突破150亿元，建成绿色发展水平高、产品特色鲜明、产业链条长的化工新材料产业基地。其中，</w:t>
      </w:r>
      <w:r>
        <w:rPr>
          <w:rFonts w:hint="eastAsia" w:eastAsia="方正黑体_GBK"/>
          <w:color w:val="000000" w:themeColor="text1"/>
          <w:sz w:val="32"/>
          <w:szCs w:val="32"/>
          <w14:textFill>
            <w14:solidFill>
              <w14:schemeClr w14:val="tx1"/>
            </w14:solidFill>
          </w14:textFill>
        </w:rPr>
        <w:t>有机硅新材料领域</w:t>
      </w:r>
      <w:r>
        <w:rPr>
          <w:color w:val="000000" w:themeColor="text1"/>
          <w:sz w:val="32"/>
          <w:szCs w:val="32"/>
          <w14:textFill>
            <w14:solidFill>
              <w14:schemeClr w14:val="tx1"/>
            </w14:solidFill>
          </w14:textFill>
        </w:rPr>
        <w:t>，</w:t>
      </w:r>
      <w:r>
        <w:rPr>
          <w:bCs/>
          <w:color w:val="000000" w:themeColor="text1"/>
          <w:sz w:val="32"/>
          <w:szCs w:val="32"/>
          <w14:textFill>
            <w14:solidFill>
              <w14:schemeClr w14:val="tx1"/>
            </w14:solidFill>
          </w14:textFill>
        </w:rPr>
        <w:t>扩大现有苯基氯硅烷、乙烯基氯硅烷单体、六甲基二硅氮烷等优势产品产能，发展特种含氟甲基氯硅烷产品，并向下游延伸面向电子信息、电力电气、新能源、轨道交通、航空航天等领域所需的苯基硅橡胶、乙烯基硅油等特种硅油、硅烷偶联剂等特种高端有机硅新材料。</w:t>
      </w:r>
      <w:r>
        <w:rPr>
          <w:rFonts w:hint="eastAsia" w:eastAsia="方正黑体_GBK"/>
          <w:color w:val="000000" w:themeColor="text1"/>
          <w:sz w:val="32"/>
          <w:szCs w:val="32"/>
          <w14:textFill>
            <w14:solidFill>
              <w14:schemeClr w14:val="tx1"/>
            </w14:solidFill>
          </w14:textFill>
        </w:rPr>
        <w:t>功能助剂领域</w:t>
      </w:r>
      <w:r>
        <w:rPr>
          <w:color w:val="000000" w:themeColor="text1"/>
          <w:sz w:val="32"/>
          <w:szCs w:val="32"/>
          <w14:textFill>
            <w14:solidFill>
              <w14:schemeClr w14:val="tx1"/>
            </w14:solidFill>
          </w14:textFill>
        </w:rPr>
        <w:t>，</w:t>
      </w:r>
      <w:r>
        <w:rPr>
          <w:bCs/>
          <w:color w:val="000000" w:themeColor="text1"/>
          <w:sz w:val="32"/>
          <w:szCs w:val="32"/>
          <w14:textFill>
            <w14:solidFill>
              <w14:schemeClr w14:val="tx1"/>
            </w14:solidFill>
          </w14:textFill>
        </w:rPr>
        <w:t>大力实施科技创新和引进国外技术，推进高分子量化、复合化、低碱化和反应型的光稳定剂产品开发与生产，打造全球最大、最具有竞争力光稳定剂研发与产业集群；丰富和提升现有二苯胺类橡胶抗氧剂产品线，进一步发展烷基化二苯胺产品。</w:t>
      </w:r>
      <w:r>
        <w:rPr>
          <w:rFonts w:hint="eastAsia" w:eastAsia="方正黑体_GBK"/>
          <w:color w:val="000000" w:themeColor="text1"/>
          <w:sz w:val="32"/>
          <w:szCs w:val="32"/>
          <w14:textFill>
            <w14:solidFill>
              <w14:schemeClr w14:val="tx1"/>
            </w14:solidFill>
          </w14:textFill>
        </w:rPr>
        <w:t>光电新材料领域</w:t>
      </w:r>
      <w:r>
        <w:rPr>
          <w:color w:val="000000" w:themeColor="text1"/>
          <w:sz w:val="32"/>
          <w:szCs w:val="32"/>
          <w14:textFill>
            <w14:solidFill>
              <w14:schemeClr w14:val="tx1"/>
            </w14:solidFill>
          </w14:textFill>
        </w:rPr>
        <w:t>，</w:t>
      </w:r>
      <w:r>
        <w:rPr>
          <w:bCs/>
          <w:color w:val="000000" w:themeColor="text1"/>
          <w:sz w:val="32"/>
          <w:szCs w:val="32"/>
          <w14:textFill>
            <w14:solidFill>
              <w14:schemeClr w14:val="tx1"/>
            </w14:solidFill>
          </w14:textFill>
        </w:rPr>
        <w:t>依托禾友化工、新亚科技等企业化工原料，向下游发展超净高纯的氨、异丙醇、四甲基氢氧化铵、六甲基二硅胺烷、二甲基甲酰胺及高端剥离液、抛光液和SEMI G4级别显影液等湿电子化学品；依托思睿屹新材等企业的对羟基苯甲酸等中间体，向下游发展液晶聚合物（LCP）新材料，推进永星化工光学材料单体向下游发展光学材料</w:t>
      </w:r>
      <w:r>
        <w:rPr>
          <w:rFonts w:hint="eastAsia"/>
          <w:bCs/>
          <w:color w:val="000000" w:themeColor="text1"/>
          <w:sz w:val="32"/>
          <w:szCs w:val="32"/>
          <w14:textFill>
            <w14:solidFill>
              <w14:schemeClr w14:val="tx1"/>
            </w14:solidFill>
          </w14:textFill>
        </w:rPr>
        <w:t>。</w:t>
      </w:r>
    </w:p>
    <w:p>
      <w:pPr>
        <w:spacing w:line="580" w:lineRule="exact"/>
        <w:ind w:firstLine="640" w:firstLineChars="200"/>
        <w:rPr>
          <w:color w:val="000000" w:themeColor="text1"/>
          <w:sz w:val="32"/>
          <w:szCs w:val="32"/>
          <w14:textFill>
            <w14:solidFill>
              <w14:schemeClr w14:val="tx1"/>
            </w14:solidFill>
          </w14:textFill>
        </w:rPr>
      </w:pPr>
      <w:r>
        <w:rPr>
          <w:rFonts w:hint="eastAsia" w:eastAsia="方正楷体_GBK"/>
          <w:color w:val="000000" w:themeColor="text1"/>
          <w:sz w:val="32"/>
          <w:szCs w:val="32"/>
          <w14:textFill>
            <w14:solidFill>
              <w14:schemeClr w14:val="tx1"/>
            </w14:solidFill>
          </w14:textFill>
        </w:rPr>
        <w:t>3．功能玻璃材料</w:t>
      </w:r>
      <w:r>
        <w:rPr>
          <w:rFonts w:hint="eastAsia"/>
          <w:color w:val="000000" w:themeColor="text1"/>
          <w:sz w:val="32"/>
          <w:szCs w:val="32"/>
          <w14:textFill>
            <w14:solidFill>
              <w14:schemeClr w14:val="tx1"/>
            </w14:solidFill>
          </w14:textFill>
        </w:rPr>
        <w:t>。重点依托宿豫区、沭阳县，围绕光伏、建筑、汽车等领域的高端需求，进一步提高玻璃材料精深加工程度，发展壮大特种玻璃、光伏玻璃等特色优势产品，招引培育汽车玻璃、化学/生物功能玻璃、热功能玻璃等应用前景广的新产品，推动产业高端化发展，力争到2025年产业规模突破200亿元，建成特色产品优势突出、高附加值产品占比大、产业链条长的功能玻璃材料产业基地。</w:t>
      </w:r>
      <w:r>
        <w:rPr>
          <w:rFonts w:hint="eastAsia" w:eastAsia="方正黑体_GBK"/>
          <w:color w:val="000000" w:themeColor="text1"/>
          <w:sz w:val="32"/>
          <w:szCs w:val="32"/>
          <w14:textFill>
            <w14:solidFill>
              <w14:schemeClr w14:val="tx1"/>
            </w14:solidFill>
          </w14:textFill>
        </w:rPr>
        <w:t>特种玻璃领域</w:t>
      </w:r>
      <w:r>
        <w:rPr>
          <w:rFonts w:hint="eastAsia"/>
          <w:color w:val="000000" w:themeColor="text1"/>
          <w:sz w:val="32"/>
          <w:szCs w:val="32"/>
          <w14:textFill>
            <w14:solidFill>
              <w14:schemeClr w14:val="tx1"/>
            </w14:solidFill>
          </w14:textFill>
        </w:rPr>
        <w:t>，结合特种玻璃高性能、大尺寸、功能集成化和品种系列化等发展趋势，在强化钢化玻璃、耐高压玻璃等现有产品优势的基础上，开发具有重大市场前景的硫系玻璃、低温封接玻璃、无碱玻璃基板和零膨胀微晶玻璃等新型特种玻璃。</w:t>
      </w:r>
      <w:r>
        <w:rPr>
          <w:rFonts w:hint="eastAsia" w:eastAsia="方正黑体_GBK"/>
          <w:color w:val="000000" w:themeColor="text1"/>
          <w:sz w:val="32"/>
          <w:szCs w:val="32"/>
          <w14:textFill>
            <w14:solidFill>
              <w14:schemeClr w14:val="tx1"/>
            </w14:solidFill>
          </w14:textFill>
        </w:rPr>
        <w:t>光伏玻璃领域</w:t>
      </w:r>
      <w:r>
        <w:rPr>
          <w:rFonts w:hint="eastAsia"/>
          <w:color w:val="000000" w:themeColor="text1"/>
          <w:sz w:val="32"/>
          <w:szCs w:val="32"/>
          <w14:textFill>
            <w14:solidFill>
              <w14:schemeClr w14:val="tx1"/>
            </w14:solidFill>
          </w14:textFill>
        </w:rPr>
        <w:t>，在强化光伏玻璃等产品技术优势的基础上，突破材料复合技术，发展智能化、微型化、高速度化的新型功能玻璃材料。</w:t>
      </w:r>
      <w:r>
        <w:rPr>
          <w:rFonts w:hint="eastAsia" w:eastAsia="方正黑体_GBK"/>
          <w:color w:val="000000" w:themeColor="text1"/>
          <w:sz w:val="32"/>
          <w:szCs w:val="32"/>
          <w14:textFill>
            <w14:solidFill>
              <w14:schemeClr w14:val="tx1"/>
            </w14:solidFill>
          </w14:textFill>
        </w:rPr>
        <w:t>汽车玻璃领域，</w:t>
      </w:r>
      <w:r>
        <w:rPr>
          <w:rFonts w:hint="eastAsia"/>
          <w:color w:val="000000" w:themeColor="text1"/>
          <w:sz w:val="32"/>
          <w:szCs w:val="32"/>
          <w14:textFill>
            <w14:solidFill>
              <w14:schemeClr w14:val="tx1"/>
            </w14:solidFill>
          </w14:textFill>
        </w:rPr>
        <w:t>注重加强汽车玻璃技术及工艺优势，根据需求和发展趋势，重点发展智能化、集成化、多功能的高端汽车用玻璃。</w:t>
      </w:r>
      <w:r>
        <w:rPr>
          <w:rFonts w:hint="eastAsia" w:eastAsia="方正黑体_GBK"/>
          <w:color w:val="000000" w:themeColor="text1"/>
          <w:sz w:val="32"/>
          <w:szCs w:val="32"/>
          <w14:textFill>
            <w14:solidFill>
              <w14:schemeClr w14:val="tx1"/>
            </w14:solidFill>
          </w14:textFill>
        </w:rPr>
        <w:t>化学/生物功能玻璃领域</w:t>
      </w:r>
      <w:r>
        <w:rPr>
          <w:rFonts w:hint="eastAsia"/>
          <w:color w:val="000000" w:themeColor="text1"/>
          <w:sz w:val="32"/>
          <w:szCs w:val="32"/>
          <w14:textFill>
            <w14:solidFill>
              <w14:schemeClr w14:val="tx1"/>
            </w14:solidFill>
          </w14:textFill>
        </w:rPr>
        <w:t>，重点招引可应用于医疗、仿生科学等领域，具有较高生物活性、生物相容性和化学稳定性的前沿生物玻璃材料项目。</w:t>
      </w:r>
      <w:r>
        <w:rPr>
          <w:rFonts w:hint="eastAsia" w:eastAsia="方正黑体_GBK"/>
          <w:color w:val="000000" w:themeColor="text1"/>
          <w:sz w:val="32"/>
          <w:szCs w:val="32"/>
          <w14:textFill>
            <w14:solidFill>
              <w14:schemeClr w14:val="tx1"/>
            </w14:solidFill>
          </w14:textFill>
        </w:rPr>
        <w:t>热功能玻璃领域</w:t>
      </w:r>
      <w:r>
        <w:rPr>
          <w:rFonts w:hint="eastAsia"/>
          <w:color w:val="000000" w:themeColor="text1"/>
          <w:sz w:val="32"/>
          <w:szCs w:val="32"/>
          <w14:textFill>
            <w14:solidFill>
              <w14:schemeClr w14:val="tx1"/>
            </w14:solidFill>
          </w14:textFill>
        </w:rPr>
        <w:t>，重点招引低熔点玻璃、热膨胀玻璃、隔热玻璃等领域的优质项目。</w:t>
      </w:r>
    </w:p>
    <w:p>
      <w:pPr>
        <w:spacing w:line="580" w:lineRule="exact"/>
        <w:ind w:firstLine="640" w:firstLineChars="200"/>
        <w:rPr>
          <w:color w:val="000000" w:themeColor="text1"/>
          <w:sz w:val="32"/>
          <w:szCs w:val="32"/>
          <w14:textFill>
            <w14:solidFill>
              <w14:schemeClr w14:val="tx1"/>
            </w14:solidFill>
          </w14:textFill>
        </w:rPr>
      </w:pPr>
      <w:r>
        <w:rPr>
          <w:rFonts w:hint="eastAsia" w:eastAsia="方正楷体_GBK"/>
          <w:color w:val="000000" w:themeColor="text1"/>
          <w:sz w:val="32"/>
          <w:szCs w:val="32"/>
          <w14:textFill>
            <w14:solidFill>
              <w14:schemeClr w14:val="tx1"/>
            </w14:solidFill>
          </w14:textFill>
        </w:rPr>
        <w:t>4．金属材料</w:t>
      </w:r>
      <w:r>
        <w:rPr>
          <w:rFonts w:hint="eastAsia"/>
          <w:color w:val="000000" w:themeColor="text1"/>
          <w:sz w:val="32"/>
          <w:szCs w:val="32"/>
          <w14:textFill>
            <w14:solidFill>
              <w14:schemeClr w14:val="tx1"/>
            </w14:solidFill>
          </w14:textFill>
        </w:rPr>
        <w:t>。重点依托宿豫区、沭阳县，围绕航天、船舶、汽车、机械制造、电子设备等领域的高端需求，发挥我市金属材料产业基础优势，强化精深加工能力，重点发展高端特种钢材、高端铝材及半固态成型技术、特种金属材料、钛类材料等产品，力争到2025年产业规模突破100亿元，建成精深加工占比大、高端产品品类齐全的金属材料产业基地。其中，</w:t>
      </w:r>
      <w:r>
        <w:rPr>
          <w:rFonts w:hint="eastAsia" w:eastAsia="方正黑体_GBK"/>
          <w:color w:val="000000" w:themeColor="text1"/>
          <w:sz w:val="32"/>
          <w:szCs w:val="32"/>
          <w14:textFill>
            <w14:solidFill>
              <w14:schemeClr w14:val="tx1"/>
            </w14:solidFill>
          </w14:textFill>
        </w:rPr>
        <w:t>高端特种钢材领域</w:t>
      </w:r>
      <w:r>
        <w:rPr>
          <w:rFonts w:hint="eastAsia"/>
          <w:color w:val="000000" w:themeColor="text1"/>
          <w:sz w:val="32"/>
          <w:szCs w:val="32"/>
          <w14:textFill>
            <w14:solidFill>
              <w14:schemeClr w14:val="tx1"/>
            </w14:solidFill>
          </w14:textFill>
        </w:rPr>
        <w:t>，强化高温耐蚀合金钢等产品的技术优势，进一步突破关键制造工艺；顺应高洁净度、高均匀性、轻重量、高强度等趋势，进一步开发适用于航空航天、海洋装备等关键领域的产品。</w:t>
      </w:r>
      <w:r>
        <w:rPr>
          <w:rFonts w:hint="eastAsia" w:eastAsia="方正黑体_GBK"/>
          <w:color w:val="000000" w:themeColor="text1"/>
          <w:sz w:val="32"/>
          <w:szCs w:val="32"/>
          <w14:textFill>
            <w14:solidFill>
              <w14:schemeClr w14:val="tx1"/>
            </w14:solidFill>
          </w14:textFill>
        </w:rPr>
        <w:t>高端铝材领域</w:t>
      </w:r>
      <w:r>
        <w:rPr>
          <w:rFonts w:hint="eastAsia"/>
          <w:color w:val="000000" w:themeColor="text1"/>
          <w:sz w:val="32"/>
          <w:szCs w:val="32"/>
          <w14:textFill>
            <w14:solidFill>
              <w14:schemeClr w14:val="tx1"/>
            </w14:solidFill>
          </w14:textFill>
        </w:rPr>
        <w:t>，强化产品技术优势，重点突破新合金开发关键工艺，发展可应用于航空航天、车体轻量化的高端铝材；进一步强化RSF半固态制浆、半固态成型、半固态压铸等技术优势，不断降低生产成本、提升产品性能、延长产品寿命、提高国产替代率。</w:t>
      </w:r>
      <w:r>
        <w:rPr>
          <w:rFonts w:hint="eastAsia" w:eastAsia="方正黑体_GBK"/>
          <w:color w:val="000000" w:themeColor="text1"/>
          <w:sz w:val="32"/>
          <w:szCs w:val="32"/>
          <w14:textFill>
            <w14:solidFill>
              <w14:schemeClr w14:val="tx1"/>
            </w14:solidFill>
          </w14:textFill>
        </w:rPr>
        <w:t>钛类材料领域</w:t>
      </w:r>
      <w:r>
        <w:rPr>
          <w:rFonts w:hint="eastAsia"/>
          <w:color w:val="000000" w:themeColor="text1"/>
          <w:sz w:val="32"/>
          <w:szCs w:val="32"/>
          <w14:textFill>
            <w14:solidFill>
              <w14:schemeClr w14:val="tx1"/>
            </w14:solidFill>
          </w14:textFill>
        </w:rPr>
        <w:t>，通过重点项目招引，发展可广泛应用于海洋工程、交通、医疗、建筑以及航空航天、军工等高科技领域的强度高、耐热性高、耐腐蚀性好的轻质钛合金材料。</w:t>
      </w:r>
    </w:p>
    <w:p>
      <w:pPr>
        <w:spacing w:line="580" w:lineRule="exact"/>
        <w:rPr>
          <w:rFonts w:eastAsia="方正楷体_GBK"/>
          <w:b/>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28" w:name="_Toc75019414"/>
      <w:bookmarkStart w:id="29" w:name="_Toc15952"/>
      <w:r>
        <w:rPr>
          <w:rFonts w:hint="eastAsia" w:ascii="Times New Roman" w:hAnsi="Times New Roman" w:eastAsia="方正楷体_GBK"/>
          <w:b w:val="0"/>
          <w:color w:val="000000" w:themeColor="text1"/>
          <w14:textFill>
            <w14:solidFill>
              <w14:schemeClr w14:val="tx1"/>
            </w14:solidFill>
          </w14:textFill>
        </w:rPr>
        <w:t>第二节  先导产业重点方向</w:t>
      </w:r>
      <w:bookmarkEnd w:id="28"/>
      <w:bookmarkEnd w:id="29"/>
    </w:p>
    <w:p>
      <w:pPr>
        <w:spacing w:line="580" w:lineRule="exact"/>
        <w:rPr>
          <w:rFonts w:eastAsia="方正楷体_GBK"/>
          <w:b/>
          <w:color w:val="000000" w:themeColor="text1"/>
          <w:sz w:val="32"/>
          <w:szCs w:val="32"/>
          <w14:textFill>
            <w14:solidFill>
              <w14:schemeClr w14:val="tx1"/>
            </w14:solidFill>
          </w14:textFill>
        </w:rPr>
      </w:pP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依托现有产业基础，抢抓国家“新基建”和新一轮科技革命及产业变革等机遇，以特色化、差异化、高端化为导向，瞄准市场潜力大、认可度高的细分领域，遴选新一代信息技术、生物医药、数字经济3个先导产业，着力构建先导产业新型培育体系，抢占未来市场制高点，加快打造一批未来有市场竞争力和地标影响力的先导产业，培育形成具有产业核心竞争力和区域特色的可持续发展产业生态。同时，根据国家、省产业发展导向，结合我市重大产业项目引进和培育情况，适时对先导产业体系进行优化调整，布局建设X个先导产业。力争到2025年，先导产业规模达到900亿元，占全市规模工业经济总量比重超过10%。</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一、新一代信息技术产业</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依托沭阳县、泗洪县、宿豫区、宿城区、苏宿工业园区、泗阳县等地区，重点打造集成电路、电子元器件2个细分产业，力争到2025年产业规模突破500亿元，将我市打造成为长三角地区新兴的新一代信息技术产业基地。</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1</w:t>
      </w:r>
      <w:r>
        <w:rPr>
          <w:rFonts w:hint="eastAsia" w:eastAsia="方正楷体_GBK"/>
          <w:color w:val="000000" w:themeColor="text1"/>
          <w:sz w:val="32"/>
          <w:szCs w:val="32"/>
          <w14:textFill>
            <w14:solidFill>
              <w14:schemeClr w14:val="tx1"/>
            </w14:solidFill>
          </w14:textFill>
        </w:rPr>
        <w:t>．集成电路</w:t>
      </w:r>
      <w:r>
        <w:rPr>
          <w:rFonts w:hint="eastAsia"/>
          <w:color w:val="000000" w:themeColor="text1"/>
          <w:sz w:val="32"/>
          <w:szCs w:val="32"/>
          <w14:textFill>
            <w14:solidFill>
              <w14:schemeClr w14:val="tx1"/>
            </w14:solidFill>
          </w14:textFill>
        </w:rPr>
        <w:t>。重点依托苏宿工业园区、泗洪县、宿城区，顺应新型电子信息技术融合化、智能化发展趋势，围绕智能终端、物联网、5G通讯、移动互联、云计算、人工智能、AR/VR、无人驾驶等领域对新型高端芯片的应用需求，积极做大集成电路制造环节，着力做强封装测试环节，争取突破设计环节，逐步构建集成电路设计、制造和封装测试协同发展格局，力争到2025年，产业规模突破150亿元，将我市打造成为新兴的集成电路产业基地。其中，</w:t>
      </w:r>
      <w:r>
        <w:rPr>
          <w:rFonts w:hint="eastAsia" w:eastAsia="方正黑体_GBK"/>
          <w:color w:val="000000" w:themeColor="text1"/>
          <w:sz w:val="32"/>
          <w:szCs w:val="32"/>
          <w14:textFill>
            <w14:solidFill>
              <w14:schemeClr w14:val="tx1"/>
            </w14:solidFill>
          </w14:textFill>
        </w:rPr>
        <w:t>制造环节</w:t>
      </w:r>
      <w:r>
        <w:rPr>
          <w:rFonts w:hint="eastAsia"/>
          <w:color w:val="000000" w:themeColor="text1"/>
          <w:sz w:val="32"/>
          <w:szCs w:val="32"/>
          <w14:textFill>
            <w14:solidFill>
              <w14:schemeClr w14:val="tx1"/>
            </w14:solidFill>
          </w14:textFill>
        </w:rPr>
        <w:t>，大力发展半导体分立器件、高亮度发光芯片等特色产品，积极引进12英寸16、14、12nm制程工艺生产线。</w:t>
      </w:r>
      <w:r>
        <w:rPr>
          <w:rFonts w:hint="eastAsia" w:eastAsia="方正黑体_GBK"/>
          <w:color w:val="000000" w:themeColor="text1"/>
          <w:sz w:val="32"/>
          <w:szCs w:val="32"/>
          <w14:textFill>
            <w14:solidFill>
              <w14:schemeClr w14:val="tx1"/>
            </w14:solidFill>
          </w14:textFill>
        </w:rPr>
        <w:t>封装测试环节</w:t>
      </w:r>
      <w:r>
        <w:rPr>
          <w:rFonts w:hint="eastAsia"/>
          <w:color w:val="000000" w:themeColor="text1"/>
          <w:sz w:val="32"/>
          <w:szCs w:val="32"/>
          <w14:textFill>
            <w14:solidFill>
              <w14:schemeClr w14:val="tx1"/>
            </w14:solidFill>
          </w14:textFill>
        </w:rPr>
        <w:t>，推动高密度SiP封测、FCBGA封测和内存芯片封测等技术的研发及产业化，重点突破快速封装、开腔封装、陶瓷封装、透明封装等特种封装技术，以及MEMS工艺、射频电路加工等特色工艺。</w:t>
      </w:r>
      <w:r>
        <w:rPr>
          <w:rFonts w:hint="eastAsia" w:eastAsia="方正黑体_GBK"/>
          <w:color w:val="000000" w:themeColor="text1"/>
          <w:sz w:val="32"/>
          <w:szCs w:val="32"/>
          <w14:textFill>
            <w14:solidFill>
              <w14:schemeClr w14:val="tx1"/>
            </w14:solidFill>
          </w14:textFill>
        </w:rPr>
        <w:t>设计环节</w:t>
      </w:r>
      <w:r>
        <w:rPr>
          <w:rFonts w:hint="eastAsia"/>
          <w:color w:val="000000" w:themeColor="text1"/>
          <w:sz w:val="32"/>
          <w:szCs w:val="32"/>
          <w14:textFill>
            <w14:solidFill>
              <w14:schemeClr w14:val="tx1"/>
            </w14:solidFill>
          </w14:textFill>
        </w:rPr>
        <w:t>，结合我市新型储能、智能网联汽车、智能家电、智能制造装备、工业互联网等领域的产业基础和发展需求，大力招引培育智能存储芯片、智能传感芯片、汽车电子芯片、工业互联网产品芯片、网络通信芯片和智慧家庭产品芯片的研发设计企业。</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2</w:t>
      </w:r>
      <w:r>
        <w:rPr>
          <w:rFonts w:hint="eastAsia" w:eastAsia="方正楷体_GBK"/>
          <w:color w:val="000000" w:themeColor="text1"/>
          <w:sz w:val="32"/>
          <w:szCs w:val="32"/>
          <w14:textFill>
            <w14:solidFill>
              <w14:schemeClr w14:val="tx1"/>
            </w14:solidFill>
          </w14:textFill>
        </w:rPr>
        <w:t>．电子元器件</w:t>
      </w:r>
      <w:r>
        <w:rPr>
          <w:rFonts w:hint="eastAsia"/>
          <w:color w:val="000000" w:themeColor="text1"/>
          <w:sz w:val="32"/>
          <w:szCs w:val="32"/>
          <w14:textFill>
            <w14:solidFill>
              <w14:schemeClr w14:val="tx1"/>
            </w14:solidFill>
          </w14:textFill>
        </w:rPr>
        <w:t>。重点依托沭阳县、泗阳县、宿城区、泗洪县和苏宿工业园区，围绕智能终端、集成电路、物联网、人工智能等新一代信息技术的发展需求，进一步提高我市基础元器件和部件总成产品技术优势，大力招引培育龙头骨干企业，不断提升产业层次和协同创新能力，力争到2025年产业规模突破350亿元，建成产业链条完整、技术创新能力强、集群集聚发展优势突出的电子元器件产业先进基地。其中，</w:t>
      </w:r>
      <w:r>
        <w:rPr>
          <w:rFonts w:hint="eastAsia" w:eastAsia="方正黑体_GBK"/>
          <w:color w:val="000000" w:themeColor="text1"/>
          <w:sz w:val="32"/>
          <w:szCs w:val="32"/>
          <w14:textFill>
            <w14:solidFill>
              <w14:schemeClr w14:val="tx1"/>
            </w14:solidFill>
          </w14:textFill>
        </w:rPr>
        <w:t>新型电子元器件领域</w:t>
      </w:r>
      <w:r>
        <w:rPr>
          <w:rFonts w:hint="eastAsia"/>
          <w:color w:val="000000" w:themeColor="text1"/>
          <w:sz w:val="32"/>
          <w:szCs w:val="32"/>
          <w14:textFill>
            <w14:solidFill>
              <w14:schemeClr w14:val="tx1"/>
            </w14:solidFill>
          </w14:textFill>
        </w:rPr>
        <w:t>，大力攻关集成电路封测、超级电容器等方面的关键技术，以及与5G基站、智能网联汽车、智能终端相配套的电感器产品。</w:t>
      </w:r>
      <w:r>
        <w:rPr>
          <w:rFonts w:hint="eastAsia" w:eastAsia="方正黑体_GBK"/>
          <w:color w:val="000000" w:themeColor="text1"/>
          <w:sz w:val="32"/>
          <w:szCs w:val="32"/>
          <w14:textFill>
            <w14:solidFill>
              <w14:schemeClr w14:val="tx1"/>
            </w14:solidFill>
          </w14:textFill>
        </w:rPr>
        <w:t>电子部件总成领域</w:t>
      </w:r>
      <w:r>
        <w:rPr>
          <w:rFonts w:hint="eastAsia"/>
          <w:color w:val="000000" w:themeColor="text1"/>
          <w:sz w:val="32"/>
          <w:szCs w:val="32"/>
          <w14:textFill>
            <w14:solidFill>
              <w14:schemeClr w14:val="tx1"/>
            </w14:solidFill>
          </w14:textFill>
        </w:rPr>
        <w:t>，进一步强化声光学部件、外壳及结构件的技术优势、设计和工艺水平，拓展开发高档耳机、蓝牙耳机等新产品，大力招引培育高端摄像头、新型电子元器件、高端电子显示屏的研发和产业化项目。</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二、生物医药产业</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围绕国家对生物经济、生物安全的战略部署，重点依托沭阳县、泗阳县、宿城区、宿豫区、市洋河新区，通过兼并重组、项目招引等方式，优先发展生物原料药，培育发展生物保健品、生物制造，全力打造省内知名的生物医药产业基地，力争到2025年，产业规模突破100亿元。其中，</w:t>
      </w:r>
      <w:r>
        <w:rPr>
          <w:rFonts w:hint="eastAsia" w:eastAsia="方正黑体_GBK"/>
          <w:color w:val="000000" w:themeColor="text1"/>
          <w:sz w:val="32"/>
          <w:szCs w:val="32"/>
          <w14:textFill>
            <w14:solidFill>
              <w14:schemeClr w14:val="tx1"/>
            </w14:solidFill>
          </w14:textFill>
        </w:rPr>
        <w:t>化学药领域</w:t>
      </w:r>
      <w:r>
        <w:rPr>
          <w:rFonts w:hint="eastAsia"/>
          <w:color w:val="000000" w:themeColor="text1"/>
          <w:sz w:val="32"/>
          <w:szCs w:val="32"/>
          <w14:textFill>
            <w14:solidFill>
              <w14:schemeClr w14:val="tx1"/>
            </w14:solidFill>
          </w14:textFill>
        </w:rPr>
        <w:t>，加快推进现有企业从生产低端医药中间体转向精细型高端原料药及其制剂产品，围绕心血管类、抗感染类、抗肿瘤类以及麻醉剂等细分方向，聚力推动化学药首仿药、化学药改良型新药及化学药创新药的研发和产业化。</w:t>
      </w:r>
      <w:r>
        <w:rPr>
          <w:rFonts w:hint="eastAsia" w:eastAsia="方正黑体_GBK"/>
          <w:color w:val="000000" w:themeColor="text1"/>
          <w:sz w:val="32"/>
          <w:szCs w:val="32"/>
          <w14:textFill>
            <w14:solidFill>
              <w14:schemeClr w14:val="tx1"/>
            </w14:solidFill>
          </w14:textFill>
        </w:rPr>
        <w:t>生物药领域</w:t>
      </w:r>
      <w:r>
        <w:rPr>
          <w:rFonts w:hint="eastAsia"/>
          <w:color w:val="000000" w:themeColor="text1"/>
          <w:sz w:val="32"/>
          <w:szCs w:val="32"/>
          <w14:textFill>
            <w14:solidFill>
              <w14:schemeClr w14:val="tx1"/>
            </w14:solidFill>
          </w14:textFill>
        </w:rPr>
        <w:t>，聚力靶点选择、抗体发现与优化、细胞株构建、细胞免疫治疗、多功能抗体工程平台等关键技术，大力发展疫苗、抗毒素及抗血清、血液制品、细胞因子、生长因子、酶、体内及体外诊断产品，以及毒素、抗原、变态反应原、单克隆抗体、抗原抗体复合物、免疫调节剂及微生态制剂等生物活性制剂。</w:t>
      </w:r>
      <w:r>
        <w:rPr>
          <w:rFonts w:hint="eastAsia" w:eastAsia="方正黑体_GBK"/>
          <w:color w:val="000000" w:themeColor="text1"/>
          <w:sz w:val="32"/>
          <w:szCs w:val="32"/>
          <w14:textFill>
            <w14:solidFill>
              <w14:schemeClr w14:val="tx1"/>
            </w14:solidFill>
          </w14:textFill>
        </w:rPr>
        <w:t>新型医疗器械领域</w:t>
      </w:r>
      <w:r>
        <w:rPr>
          <w:rFonts w:hint="eastAsia"/>
          <w:color w:val="000000" w:themeColor="text1"/>
          <w:sz w:val="32"/>
          <w:szCs w:val="32"/>
          <w14:textFill>
            <w14:solidFill>
              <w14:schemeClr w14:val="tx1"/>
            </w14:solidFill>
          </w14:textFill>
        </w:rPr>
        <w:t>，进一步提高医用卫生材料及辅料、医用高分子材料及制品基础、外科手术器械等特色产品的技术优势和品牌影响力，探索发展医学影像、医用机器人、智能家用医疗器械等高端新产品，加强本地产品在市内医疗、养生、养老、休闲等产业的应用推广。</w:t>
      </w:r>
      <w:r>
        <w:rPr>
          <w:rFonts w:hint="eastAsia" w:eastAsia="方正黑体_GBK"/>
          <w:color w:val="000000" w:themeColor="text1"/>
          <w:sz w:val="32"/>
          <w:szCs w:val="32"/>
          <w14:textFill>
            <w14:solidFill>
              <w14:schemeClr w14:val="tx1"/>
            </w14:solidFill>
          </w14:textFill>
        </w:rPr>
        <w:t>生物保健品领域</w:t>
      </w:r>
      <w:r>
        <w:rPr>
          <w:rFonts w:hint="eastAsia"/>
          <w:color w:val="000000" w:themeColor="text1"/>
          <w:sz w:val="32"/>
          <w:szCs w:val="32"/>
          <w14:textFill>
            <w14:solidFill>
              <w14:schemeClr w14:val="tx1"/>
            </w14:solidFill>
          </w14:textFill>
        </w:rPr>
        <w:t>，重点突破从酒糟、芳香植物、水果蔬菜高效萃取提炼有用物质的相关关键技术，大力发展免疫调节类维生素、膳食营养补充剂、功能性饮品等特色产品。</w:t>
      </w:r>
      <w:r>
        <w:rPr>
          <w:rFonts w:hint="eastAsia" w:eastAsia="方正黑体_GBK"/>
          <w:color w:val="000000" w:themeColor="text1"/>
          <w:sz w:val="32"/>
          <w:szCs w:val="32"/>
          <w14:textFill>
            <w14:solidFill>
              <w14:schemeClr w14:val="tx1"/>
            </w14:solidFill>
          </w14:textFill>
        </w:rPr>
        <w:t>生物制造领域</w:t>
      </w:r>
      <w:r>
        <w:rPr>
          <w:rFonts w:hint="eastAsia"/>
          <w:color w:val="000000" w:themeColor="text1"/>
          <w:sz w:val="32"/>
          <w:szCs w:val="32"/>
          <w14:textFill>
            <w14:solidFill>
              <w14:schemeClr w14:val="tx1"/>
            </w14:solidFill>
          </w14:textFill>
        </w:rPr>
        <w:t>，聚力突破生物制品工艺及生产技术瓶颈，重点发展聚乳酸、聚有机酸复合材料、氨基酸、胶原蛋白、生物多肽等生物基材料及生物助剂。</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三、数字经济</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重点依托宿豫区，以京东集团为核心，推动数字经济与实体经济深度融合，打造以电子商务平台为引领，集合客服增值中心、工业物联网、大数据中心、智慧物流、互联网金融等资源，赋能品牌共同体的数字经济产业生态，力争到2025年，产业规模突破300亿元。其中，</w:t>
      </w:r>
      <w:r>
        <w:rPr>
          <w:rFonts w:hint="eastAsia" w:eastAsia="方正黑体_GBK"/>
          <w:color w:val="000000" w:themeColor="text1"/>
          <w:sz w:val="32"/>
          <w:szCs w:val="32"/>
          <w14:textFill>
            <w14:solidFill>
              <w14:schemeClr w14:val="tx1"/>
            </w14:solidFill>
          </w14:textFill>
        </w:rPr>
        <w:t>大数据+领域</w:t>
      </w:r>
      <w:r>
        <w:rPr>
          <w:rFonts w:hint="eastAsia"/>
          <w:color w:val="000000" w:themeColor="text1"/>
          <w:sz w:val="32"/>
          <w:szCs w:val="32"/>
          <w14:textFill>
            <w14:solidFill>
              <w14:schemeClr w14:val="tx1"/>
            </w14:solidFill>
          </w14:textFill>
        </w:rPr>
        <w:t>，依托京东云华东数据中心，加快云计算存储平台、计算平台、资源管理平台的建设，聚焦电子商务、智慧物流等优势领域，进一步提高主机托管、网络接入、IT设施系统集成、采贩租赁、JD Cloud整体解决方案、高密度计算解决方案、数据中心场地定制化及数据中心规划咨询等服务能力，积极探索和开发大数据应用产品。</w:t>
      </w:r>
      <w:r>
        <w:rPr>
          <w:rFonts w:hint="eastAsia" w:eastAsia="方正黑体_GBK"/>
          <w:color w:val="000000" w:themeColor="text1"/>
          <w:sz w:val="32"/>
          <w:szCs w:val="32"/>
          <w14:textFill>
            <w14:solidFill>
              <w14:schemeClr w14:val="tx1"/>
            </w14:solidFill>
          </w14:textFill>
        </w:rPr>
        <w:t>工业物联网领域</w:t>
      </w:r>
      <w:r>
        <w:rPr>
          <w:rFonts w:hint="eastAsia"/>
          <w:color w:val="000000" w:themeColor="text1"/>
          <w:sz w:val="32"/>
          <w:szCs w:val="32"/>
          <w14:textFill>
            <w14:solidFill>
              <w14:schemeClr w14:val="tx1"/>
            </w14:solidFill>
          </w14:textFill>
        </w:rPr>
        <w:t>，聚焦光伏新能源、汽车、智能家电、激光装备、高端数控机床、智能成套装备、高端专用装备、生物医药、新型医疗器械等产业，加强本地企业与京东智能工业物联网产业平台的对接合作，推动企业借助京东平台资源实施智能化改造，打造一批以工业物联网技术应用为特色的智能工厂。</w:t>
      </w:r>
      <w:r>
        <w:rPr>
          <w:rFonts w:hint="eastAsia" w:eastAsia="方正黑体_GBK"/>
          <w:color w:val="000000" w:themeColor="text1"/>
          <w:sz w:val="32"/>
          <w:szCs w:val="32"/>
          <w14:textFill>
            <w14:solidFill>
              <w14:schemeClr w14:val="tx1"/>
            </w14:solidFill>
          </w14:textFill>
        </w:rPr>
        <w:t>智慧物流领域</w:t>
      </w:r>
      <w:r>
        <w:rPr>
          <w:rFonts w:hint="eastAsia"/>
          <w:color w:val="000000" w:themeColor="text1"/>
          <w:sz w:val="32"/>
          <w:szCs w:val="32"/>
          <w14:textFill>
            <w14:solidFill>
              <w14:schemeClr w14:val="tx1"/>
            </w14:solidFill>
          </w14:textFill>
        </w:rPr>
        <w:t>，加快京东物流园区建设，聚力打造京东宿迁仓储物流中心、京东智慧物流全国运营调度中心，强化配套公路、水路、铁路基础设施建设，提升物流中心转运能力和辐射范围，结合全市重点产业物流运输需求，大力发展冷链物流、多式联运和智慧云仓储服务。</w:t>
      </w:r>
      <w:r>
        <w:rPr>
          <w:rFonts w:hint="eastAsia" w:eastAsia="方正黑体_GBK"/>
          <w:color w:val="000000" w:themeColor="text1"/>
          <w:sz w:val="32"/>
          <w:szCs w:val="32"/>
          <w14:textFill>
            <w14:solidFill>
              <w14:schemeClr w14:val="tx1"/>
            </w14:solidFill>
          </w14:textFill>
        </w:rPr>
        <w:t>互联网金融领域</w:t>
      </w:r>
      <w:r>
        <w:rPr>
          <w:rFonts w:hint="eastAsia"/>
          <w:color w:val="000000" w:themeColor="text1"/>
          <w:sz w:val="32"/>
          <w:szCs w:val="32"/>
          <w14:textFill>
            <w14:solidFill>
              <w14:schemeClr w14:val="tx1"/>
            </w14:solidFill>
          </w14:textFill>
        </w:rPr>
        <w:t>，重点依托宿迁京东金融订单结算中心，进一步提高支付结算服务能力；探索发展创业投资、供应链金融、消费金融等服务产品。</w:t>
      </w:r>
      <w:r>
        <w:rPr>
          <w:rFonts w:hint="eastAsia" w:eastAsia="方正黑体_GBK"/>
          <w:color w:val="000000" w:themeColor="text1"/>
          <w:sz w:val="32"/>
          <w:szCs w:val="32"/>
          <w14:textFill>
            <w14:solidFill>
              <w14:schemeClr w14:val="tx1"/>
            </w14:solidFill>
          </w14:textFill>
        </w:rPr>
        <w:t>客户增值服务领域</w:t>
      </w:r>
      <w:r>
        <w:rPr>
          <w:rFonts w:hint="eastAsia"/>
          <w:color w:val="000000" w:themeColor="text1"/>
          <w:sz w:val="32"/>
          <w:szCs w:val="32"/>
          <w14:textFill>
            <w14:solidFill>
              <w14:schemeClr w14:val="tx1"/>
            </w14:solidFill>
          </w14:textFill>
        </w:rPr>
        <w:t>，重点依托京东客户服务中心，助力京东强化客服人员技能培训，进一步提高商务呼叫、电商售后服务品质；支持京东进一步开发商业智能（BI）和云端客服系统，不断提高产品智能化水平，优化服务体验、降低服务成本；鼓励和支持京东挖掘华东地区客户大数据资源，探索发展企业管理咨询、品牌营销策划、通讯技术咨询等增值服务，变客服中心为价值增值中心。</w:t>
      </w:r>
      <w:r>
        <w:rPr>
          <w:rFonts w:hint="eastAsia" w:eastAsia="方正黑体_GBK"/>
          <w:color w:val="000000" w:themeColor="text1"/>
          <w:sz w:val="32"/>
          <w:szCs w:val="32"/>
          <w14:textFill>
            <w14:solidFill>
              <w14:schemeClr w14:val="tx1"/>
            </w14:solidFill>
          </w14:textFill>
        </w:rPr>
        <w:t>品牌共同体领域</w:t>
      </w:r>
      <w:r>
        <w:rPr>
          <w:rFonts w:hint="eastAsia"/>
          <w:color w:val="000000" w:themeColor="text1"/>
          <w:sz w:val="32"/>
          <w:szCs w:val="32"/>
          <w14:textFill>
            <w14:solidFill>
              <w14:schemeClr w14:val="tx1"/>
            </w14:solidFill>
          </w14:textFill>
        </w:rPr>
        <w:t>，聚焦3C电子及零配件、纺织、服装服饰、酒、食品饮料、绿色家居、汽车及零部件、智能家电、生物保健品等产业，推动企业加强与京东的全面合作，强化数据共享、品类共建、用户共赢和场景共生，协同联动打造创新产品和高端品牌，提升“宿迁制造”整体竞争力。</w:t>
      </w:r>
    </w:p>
    <w:p>
      <w:pPr>
        <w:pStyle w:val="2"/>
        <w:spacing w:line="580" w:lineRule="exact"/>
        <w:ind w:firstLine="331"/>
        <w:rPr>
          <w:rFonts w:ascii="Times New Roman" w:hAnsi="Times New Roman"/>
          <w:color w:val="000000" w:themeColor="text1"/>
          <w:lang w:val="en-US" w:bidi="ar-SA"/>
          <w14:textFill>
            <w14:solidFill>
              <w14:schemeClr w14:val="tx1"/>
            </w14:solidFill>
          </w14:textFill>
        </w:rPr>
      </w:pPr>
    </w:p>
    <w:p>
      <w:pPr>
        <w:widowControl/>
        <w:spacing w:line="580" w:lineRule="exact"/>
        <w:jc w:val="left"/>
        <w:rPr>
          <w:rFonts w:eastAsia="宋体"/>
          <w:b/>
          <w:bCs/>
          <w:color w:val="000000" w:themeColor="text1"/>
          <w:sz w:val="33"/>
          <w:szCs w:val="33"/>
          <w14:textFill>
            <w14:solidFill>
              <w14:schemeClr w14:val="tx1"/>
            </w14:solidFill>
          </w14:textFill>
        </w:rPr>
      </w:pPr>
      <w:r>
        <w:rPr>
          <w:color w:val="000000" w:themeColor="text1"/>
          <w14:textFill>
            <w14:solidFill>
              <w14:schemeClr w14:val="tx1"/>
            </w14:solidFill>
          </w14:textFill>
        </w:rPr>
        <w:br w:type="page"/>
      </w:r>
    </w:p>
    <w:p>
      <w:pPr>
        <w:pStyle w:val="2"/>
        <w:spacing w:line="580" w:lineRule="exact"/>
        <w:ind w:firstLine="331"/>
        <w:rPr>
          <w:rFonts w:ascii="Times New Roman" w:hAnsi="Times New Roman"/>
          <w:color w:val="000000" w:themeColor="text1"/>
          <w:lang w:val="en-US" w:bidi="ar-SA"/>
          <w14:textFill>
            <w14:solidFill>
              <w14:schemeClr w14:val="tx1"/>
            </w14:solidFill>
          </w14:textFill>
        </w:rPr>
      </w:pPr>
    </w:p>
    <w:p>
      <w:pPr>
        <w:pStyle w:val="6"/>
        <w:spacing w:before="0" w:after="0" w:line="580" w:lineRule="exact"/>
        <w:jc w:val="center"/>
        <w:rPr>
          <w:rFonts w:eastAsia="方正黑体_GBK"/>
          <w:b w:val="0"/>
          <w:color w:val="000000" w:themeColor="text1"/>
          <w:sz w:val="32"/>
          <w:szCs w:val="32"/>
          <w14:textFill>
            <w14:solidFill>
              <w14:schemeClr w14:val="tx1"/>
            </w14:solidFill>
          </w14:textFill>
        </w:rPr>
      </w:pPr>
      <w:bookmarkStart w:id="30" w:name="_Toc28997"/>
      <w:bookmarkStart w:id="31" w:name="_Toc75019415"/>
      <w:r>
        <w:rPr>
          <w:rFonts w:hint="eastAsia" w:eastAsia="方正黑体_GBK"/>
          <w:b w:val="0"/>
          <w:color w:val="000000" w:themeColor="text1"/>
          <w:sz w:val="32"/>
          <w:szCs w:val="32"/>
          <w14:textFill>
            <w14:solidFill>
              <w14:schemeClr w14:val="tx1"/>
            </w14:solidFill>
          </w14:textFill>
        </w:rPr>
        <w:t>第五章  产业布局</w:t>
      </w:r>
      <w:bookmarkEnd w:id="30"/>
      <w:bookmarkEnd w:id="31"/>
    </w:p>
    <w:p>
      <w:pPr>
        <w:spacing w:line="580" w:lineRule="exact"/>
        <w:rPr>
          <w:rFonts w:eastAsia="方正楷体_GBK"/>
          <w:b/>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32" w:name="_Toc75019416"/>
      <w:bookmarkStart w:id="33" w:name="_Toc13763"/>
      <w:r>
        <w:rPr>
          <w:rFonts w:hint="eastAsia" w:ascii="Times New Roman" w:hAnsi="Times New Roman" w:eastAsia="方正楷体_GBK"/>
          <w:b w:val="0"/>
          <w:color w:val="000000" w:themeColor="text1"/>
          <w14:textFill>
            <w14:solidFill>
              <w14:schemeClr w14:val="tx1"/>
            </w14:solidFill>
          </w14:textFill>
        </w:rPr>
        <w:t>第一节  沭阳县产业布局</w:t>
      </w:r>
      <w:bookmarkEnd w:id="32"/>
      <w:bookmarkEnd w:id="33"/>
    </w:p>
    <w:p>
      <w:pPr>
        <w:spacing w:line="580" w:lineRule="exact"/>
        <w:rPr>
          <w:rFonts w:eastAsia="方正楷体_GBK"/>
          <w:b/>
          <w:color w:val="000000" w:themeColor="text1"/>
          <w:sz w:val="32"/>
          <w:szCs w:val="32"/>
          <w14:textFill>
            <w14:solidFill>
              <w14:schemeClr w14:val="tx1"/>
            </w14:solidFill>
          </w14:textFill>
        </w:rPr>
      </w:pPr>
    </w:p>
    <w:p>
      <w:pPr>
        <w:spacing w:line="580" w:lineRule="exact"/>
        <w:ind w:firstLine="640" w:firstLineChars="200"/>
        <w:outlineLvl w:val="2"/>
        <w:rPr>
          <w:rFonts w:eastAsia="方正黑体_GBK" w:cs="方正仿宋_GBK"/>
          <w:bCs/>
          <w:color w:val="000000" w:themeColor="text1"/>
          <w:sz w:val="32"/>
          <w:szCs w:val="32"/>
          <w14:textFill>
            <w14:solidFill>
              <w14:schemeClr w14:val="tx1"/>
            </w14:solidFill>
          </w14:textFill>
        </w:rPr>
      </w:pPr>
      <w:r>
        <w:rPr>
          <w:rFonts w:hint="eastAsia" w:eastAsia="方正黑体_GBK" w:cs="方正仿宋_GBK"/>
          <w:bCs/>
          <w:color w:val="000000" w:themeColor="text1"/>
          <w:sz w:val="32"/>
          <w:szCs w:val="32"/>
          <w14:textFill>
            <w14:solidFill>
              <w14:schemeClr w14:val="tx1"/>
            </w14:solidFill>
          </w14:textFill>
        </w:rPr>
        <w:t>一、主导产业布局</w:t>
      </w:r>
    </w:p>
    <w:p>
      <w:pPr>
        <w:spacing w:line="580" w:lineRule="exact"/>
        <w:ind w:firstLine="640" w:firstLineChars="200"/>
        <w:rPr>
          <w:bCs/>
          <w:color w:val="000000" w:themeColor="text1"/>
          <w:sz w:val="32"/>
          <w14:textFill>
            <w14:solidFill>
              <w14:schemeClr w14:val="tx1"/>
            </w14:solidFill>
          </w14:textFill>
        </w:rPr>
      </w:pPr>
      <w:r>
        <w:rPr>
          <w:rFonts w:hint="eastAsia" w:cs="方正仿宋_GBK"/>
          <w:bCs/>
          <w:color w:val="000000" w:themeColor="text1"/>
          <w:sz w:val="32"/>
          <w:szCs w:val="32"/>
          <w14:textFill>
            <w14:solidFill>
              <w14:schemeClr w14:val="tx1"/>
            </w14:solidFill>
          </w14:textFill>
        </w:rPr>
        <w:t>在全市6大主导产业中，沭阳县主要承担机电装备（装备制造、新型电池）、高端纺织（纺织服装、化纤）、绿色家居（高端家居）、新材料（膜材料、金属材料）等4大产业、7个细分产业。其中：</w:t>
      </w:r>
      <w:r>
        <w:rPr>
          <w:rFonts w:hint="eastAsia" w:cs="方正仿宋_GBK"/>
          <w:b/>
          <w:bCs/>
          <w:color w:val="000000" w:themeColor="text1"/>
          <w:sz w:val="32"/>
          <w:szCs w:val="32"/>
          <w14:textFill>
            <w14:solidFill>
              <w14:schemeClr w14:val="tx1"/>
            </w14:solidFill>
          </w14:textFill>
        </w:rPr>
        <w:t>装备制造产业</w:t>
      </w:r>
      <w:r>
        <w:rPr>
          <w:rFonts w:hint="eastAsia" w:cs="方正仿宋_GBK"/>
          <w:bCs/>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重点发展以半固态成型制造装备为代表的特色高端专用装备，着力在车辆装备制造、道路工程机械等精密压铸机和纺织成套设备等领域形成主导优势</w:t>
      </w:r>
      <w:r>
        <w:rPr>
          <w:rFonts w:hint="eastAsia" w:cs="方正仿宋_GBK"/>
          <w:bCs/>
          <w:color w:val="000000" w:themeColor="text1"/>
          <w:sz w:val="32"/>
          <w:szCs w:val="32"/>
          <w14:textFill>
            <w14:solidFill>
              <w14:schemeClr w14:val="tx1"/>
            </w14:solidFill>
          </w14:textFill>
        </w:rPr>
        <w:t>。</w:t>
      </w:r>
      <w:r>
        <w:rPr>
          <w:rFonts w:hint="eastAsia" w:cs="方正仿宋_GBK"/>
          <w:b/>
          <w:bCs/>
          <w:color w:val="000000" w:themeColor="text1"/>
          <w:sz w:val="32"/>
          <w:szCs w:val="32"/>
          <w14:textFill>
            <w14:solidFill>
              <w14:schemeClr w14:val="tx1"/>
            </w14:solidFill>
          </w14:textFill>
        </w:rPr>
        <w:t>新型电池产业</w:t>
      </w:r>
      <w:r>
        <w:rPr>
          <w:rFonts w:hint="eastAsia" w:cs="方正仿宋_GBK"/>
          <w:bCs/>
          <w:color w:val="000000" w:themeColor="text1"/>
          <w:sz w:val="32"/>
          <w:szCs w:val="32"/>
          <w14:textFill>
            <w14:solidFill>
              <w14:schemeClr w14:val="tx1"/>
            </w14:solidFill>
          </w14:textFill>
        </w:rPr>
        <w:t>，重点发展以铅酸电池和电池无害化综合利用为代表的特色动力电池产品。</w:t>
      </w:r>
      <w:r>
        <w:rPr>
          <w:rFonts w:hint="eastAsia" w:cs="方正仿宋_GBK"/>
          <w:b/>
          <w:bCs/>
          <w:color w:val="000000" w:themeColor="text1"/>
          <w:sz w:val="32"/>
          <w:szCs w:val="32"/>
          <w14:textFill>
            <w14:solidFill>
              <w14:schemeClr w14:val="tx1"/>
            </w14:solidFill>
          </w14:textFill>
        </w:rPr>
        <w:t>纺织服装产业</w:t>
      </w:r>
      <w:r>
        <w:rPr>
          <w:rFonts w:hint="eastAsia" w:cs="方正仿宋_GBK"/>
          <w:bCs/>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依托沭阳经开区和临港新城产业园，重点发展熔体纺丝、包覆纱、差别化纤维、功能性面料、高档家纺、高端纺织机械等特色产品</w:t>
      </w:r>
      <w:r>
        <w:rPr>
          <w:rFonts w:hint="eastAsia"/>
          <w:color w:val="000000" w:themeColor="text1"/>
          <w:sz w:val="32"/>
          <w:szCs w:val="32"/>
          <w14:textFill>
            <w14:solidFill>
              <w14:schemeClr w14:val="tx1"/>
            </w14:solidFill>
          </w14:textFill>
        </w:rPr>
        <w:t>。</w:t>
      </w:r>
      <w:r>
        <w:rPr>
          <w:rFonts w:hint="eastAsia" w:cs="方正仿宋_GBK"/>
          <w:b/>
          <w:bCs/>
          <w:color w:val="000000" w:themeColor="text1"/>
          <w:sz w:val="32"/>
          <w:szCs w:val="32"/>
          <w14:textFill>
            <w14:solidFill>
              <w14:schemeClr w14:val="tx1"/>
            </w14:solidFill>
          </w14:textFill>
        </w:rPr>
        <w:t>化纤产业，</w:t>
      </w:r>
      <w:r>
        <w:rPr>
          <w:rFonts w:hint="eastAsia" w:cs="方正仿宋_GBK"/>
          <w:bCs/>
          <w:color w:val="000000" w:themeColor="text1"/>
          <w:sz w:val="32"/>
          <w:szCs w:val="32"/>
          <w14:textFill>
            <w14:solidFill>
              <w14:schemeClr w14:val="tx1"/>
            </w14:solidFill>
          </w14:textFill>
        </w:rPr>
        <w:t>发展高性能化纤纤维等特色产品。</w:t>
      </w:r>
      <w:r>
        <w:rPr>
          <w:rFonts w:hint="eastAsia" w:cs="方正仿宋_GBK"/>
          <w:b/>
          <w:bCs/>
          <w:color w:val="000000" w:themeColor="text1"/>
          <w:sz w:val="32"/>
          <w:szCs w:val="32"/>
          <w14:textFill>
            <w14:solidFill>
              <w14:schemeClr w14:val="tx1"/>
            </w14:solidFill>
          </w14:textFill>
        </w:rPr>
        <w:t>高端家居产业</w:t>
      </w:r>
      <w:r>
        <w:rPr>
          <w:rFonts w:hint="eastAsia" w:cs="方正仿宋_GBK"/>
          <w:bCs/>
          <w:color w:val="000000" w:themeColor="text1"/>
          <w:sz w:val="32"/>
          <w:szCs w:val="32"/>
          <w14:textFill>
            <w14:solidFill>
              <w14:schemeClr w14:val="tx1"/>
            </w14:solidFill>
          </w14:textFill>
        </w:rPr>
        <w:t>，依托</w:t>
      </w:r>
      <w:r>
        <w:rPr>
          <w:rFonts w:hint="eastAsia"/>
          <w:bCs/>
          <w:color w:val="000000" w:themeColor="text1"/>
          <w:sz w:val="32"/>
          <w14:textFill>
            <w14:solidFill>
              <w14:schemeClr w14:val="tx1"/>
            </w14:solidFill>
          </w14:textFill>
        </w:rPr>
        <w:t>桑墟、青伊湖、华冲、龙庙、贤官、扎下等6个重点乡镇，发展木质家具、建筑木料、装饰板材等特色产品。</w:t>
      </w:r>
      <w:r>
        <w:rPr>
          <w:rFonts w:hint="eastAsia" w:cs="方正仿宋_GBK"/>
          <w:b/>
          <w:bCs/>
          <w:color w:val="000000" w:themeColor="text1"/>
          <w:sz w:val="32"/>
          <w:szCs w:val="32"/>
          <w14:textFill>
            <w14:solidFill>
              <w14:schemeClr w14:val="tx1"/>
            </w14:solidFill>
          </w14:textFill>
        </w:rPr>
        <w:t>膜材料产业</w:t>
      </w:r>
      <w:r>
        <w:rPr>
          <w:rFonts w:hint="eastAsia" w:cs="方正仿宋_GBK"/>
          <w:bCs/>
          <w:color w:val="000000" w:themeColor="text1"/>
          <w:sz w:val="32"/>
          <w:szCs w:val="32"/>
          <w14:textFill>
            <w14:solidFill>
              <w14:schemeClr w14:val="tx1"/>
            </w14:solidFill>
          </w14:textFill>
        </w:rPr>
        <w:t>，重点发展可降解薄膜产业园，光学功能薄膜等特色产品。</w:t>
      </w:r>
      <w:r>
        <w:rPr>
          <w:rFonts w:hint="eastAsia" w:cs="方正仿宋_GBK"/>
          <w:b/>
          <w:bCs/>
          <w:color w:val="000000" w:themeColor="text1"/>
          <w:sz w:val="32"/>
          <w:szCs w:val="32"/>
          <w14:textFill>
            <w14:solidFill>
              <w14:schemeClr w14:val="tx1"/>
            </w14:solidFill>
          </w14:textFill>
        </w:rPr>
        <w:t>金属材料产业</w:t>
      </w:r>
      <w:r>
        <w:rPr>
          <w:rFonts w:hint="eastAsia" w:cs="方正仿宋_GBK"/>
          <w:bCs/>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重点发展高端特种钢材、有色金属、高性能金属新材料等特色产品</w:t>
      </w:r>
      <w:r>
        <w:rPr>
          <w:rFonts w:hint="eastAsia" w:cs="方正仿宋_GBK"/>
          <w:bCs/>
          <w:color w:val="000000" w:themeColor="text1"/>
          <w:sz w:val="32"/>
          <w:szCs w:val="32"/>
          <w14:textFill>
            <w14:solidFill>
              <w14:schemeClr w14:val="tx1"/>
            </w14:solidFill>
          </w14:textFill>
        </w:rPr>
        <w:t>。</w:t>
      </w:r>
    </w:p>
    <w:p>
      <w:pPr>
        <w:spacing w:line="580" w:lineRule="exact"/>
        <w:ind w:firstLine="640" w:firstLineChars="200"/>
        <w:outlineLvl w:val="2"/>
        <w:rPr>
          <w:rFonts w:eastAsia="方正黑体_GBK" w:cs="方正仿宋_GBK"/>
          <w:bCs/>
          <w:color w:val="000000" w:themeColor="text1"/>
          <w:sz w:val="32"/>
          <w:szCs w:val="32"/>
          <w14:textFill>
            <w14:solidFill>
              <w14:schemeClr w14:val="tx1"/>
            </w14:solidFill>
          </w14:textFill>
        </w:rPr>
      </w:pPr>
      <w:r>
        <w:rPr>
          <w:rFonts w:hint="eastAsia" w:eastAsia="方正黑体_GBK" w:cs="方正仿宋_GBK"/>
          <w:bCs/>
          <w:color w:val="000000" w:themeColor="text1"/>
          <w:sz w:val="32"/>
          <w:szCs w:val="32"/>
          <w14:textFill>
            <w14:solidFill>
              <w14:schemeClr w14:val="tx1"/>
            </w14:solidFill>
          </w14:textFill>
        </w:rPr>
        <w:t>二、先导产业布局</w:t>
      </w:r>
    </w:p>
    <w:p>
      <w:pPr>
        <w:spacing w:line="580" w:lineRule="exact"/>
        <w:ind w:firstLine="640" w:firstLineChars="200"/>
        <w:rPr>
          <w:rFonts w:cs="方正仿宋_GBK"/>
          <w:bCs/>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在全市3个先导产业中，沭阳县</w:t>
      </w:r>
      <w:r>
        <w:rPr>
          <w:rFonts w:hint="eastAsia" w:cs="方正仿宋_GBK"/>
          <w:bCs/>
          <w:color w:val="000000" w:themeColor="text1"/>
          <w:sz w:val="32"/>
          <w:szCs w:val="32"/>
          <w14:textFill>
            <w14:solidFill>
              <w14:schemeClr w14:val="tx1"/>
            </w14:solidFill>
          </w14:textFill>
        </w:rPr>
        <w:t>主要承担新一代信息技术产业（电子元器件）、生物医药2个产业的</w:t>
      </w:r>
      <w:r>
        <w:rPr>
          <w:rFonts w:hint="eastAsia"/>
          <w:color w:val="000000" w:themeColor="text1"/>
          <w:sz w:val="32"/>
          <w:szCs w:val="32"/>
          <w14:textFill>
            <w14:solidFill>
              <w14:schemeClr w14:val="tx1"/>
            </w14:solidFill>
          </w14:textFill>
        </w:rPr>
        <w:t>布局发展任务。其中：</w:t>
      </w:r>
      <w:r>
        <w:rPr>
          <w:rFonts w:hint="eastAsia" w:cs="方正仿宋_GBK"/>
          <w:b/>
          <w:bCs/>
          <w:color w:val="000000" w:themeColor="text1"/>
          <w:sz w:val="32"/>
          <w:szCs w:val="32"/>
          <w14:textFill>
            <w14:solidFill>
              <w14:schemeClr w14:val="tx1"/>
            </w14:solidFill>
          </w14:textFill>
        </w:rPr>
        <w:t>电子元器件产业，</w:t>
      </w:r>
      <w:r>
        <w:rPr>
          <w:color w:val="000000" w:themeColor="text1"/>
          <w:sz w:val="32"/>
          <w:szCs w:val="32"/>
          <w14:textFill>
            <w14:solidFill>
              <w14:schemeClr w14:val="tx1"/>
            </w14:solidFill>
          </w14:textFill>
        </w:rPr>
        <w:t>依托电子通讯特色产业园，以无线通信（手持机）和光纤通讯为两大发展方向，重点发展手机外壳、电子线材等特色产品</w:t>
      </w:r>
      <w:r>
        <w:rPr>
          <w:rFonts w:hint="eastAsia" w:cs="方正仿宋_GBK"/>
          <w:bCs/>
          <w:color w:val="000000" w:themeColor="text1"/>
          <w:sz w:val="32"/>
          <w:szCs w:val="32"/>
          <w14:textFill>
            <w14:solidFill>
              <w14:schemeClr w14:val="tx1"/>
            </w14:solidFill>
          </w14:textFill>
        </w:rPr>
        <w:t>。</w:t>
      </w:r>
      <w:r>
        <w:rPr>
          <w:rFonts w:hint="eastAsia" w:cs="方正仿宋_GBK"/>
          <w:b/>
          <w:bCs/>
          <w:color w:val="000000" w:themeColor="text1"/>
          <w:sz w:val="32"/>
          <w:szCs w:val="32"/>
          <w14:textFill>
            <w14:solidFill>
              <w14:schemeClr w14:val="tx1"/>
            </w14:solidFill>
          </w14:textFill>
        </w:rPr>
        <w:t>生物医药产业，</w:t>
      </w:r>
      <w:r>
        <w:rPr>
          <w:rFonts w:hint="eastAsia"/>
          <w:color w:val="000000" w:themeColor="text1"/>
          <w:sz w:val="32"/>
          <w:szCs w:val="32"/>
          <w14:textFill>
            <w14:solidFill>
              <w14:schemeClr w14:val="tx1"/>
            </w14:solidFill>
          </w14:textFill>
        </w:rPr>
        <w:t>依托沭阳昆沭高新区</w:t>
      </w:r>
      <w:r>
        <w:rPr>
          <w:color w:val="000000" w:themeColor="text1"/>
          <w:sz w:val="32"/>
          <w:szCs w:val="32"/>
          <w14:textFill>
            <w14:solidFill>
              <w14:schemeClr w14:val="tx1"/>
            </w14:solidFill>
          </w14:textFill>
        </w:rPr>
        <w:t>，重点发展生物制药、医疗器械、功能食品、生物制造等特色产品</w:t>
      </w:r>
      <w:r>
        <w:rPr>
          <w:rFonts w:hint="eastAsia" w:cs="方正仿宋_GBK"/>
          <w:bCs/>
          <w:color w:val="000000" w:themeColor="text1"/>
          <w:sz w:val="32"/>
          <w:szCs w:val="32"/>
          <w14:textFill>
            <w14:solidFill>
              <w14:schemeClr w14:val="tx1"/>
            </w14:solidFill>
          </w14:textFill>
        </w:rPr>
        <w:t>。</w:t>
      </w:r>
    </w:p>
    <w:p>
      <w:pPr>
        <w:spacing w:line="580" w:lineRule="exact"/>
        <w:ind w:firstLine="640" w:firstLineChars="200"/>
        <w:rPr>
          <w:rFonts w:cs="方正仿宋_GBK"/>
          <w:bCs/>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34" w:name="_Toc75019417"/>
      <w:bookmarkStart w:id="35" w:name="_Toc15781"/>
      <w:r>
        <w:rPr>
          <w:rFonts w:hint="eastAsia" w:ascii="Times New Roman" w:hAnsi="Times New Roman" w:eastAsia="方正楷体_GBK"/>
          <w:b w:val="0"/>
          <w:color w:val="000000" w:themeColor="text1"/>
          <w14:textFill>
            <w14:solidFill>
              <w14:schemeClr w14:val="tx1"/>
            </w14:solidFill>
          </w14:textFill>
        </w:rPr>
        <w:t>第二节  泗阳县产业布局</w:t>
      </w:r>
      <w:bookmarkEnd w:id="34"/>
      <w:bookmarkEnd w:id="35"/>
    </w:p>
    <w:p>
      <w:pPr>
        <w:spacing w:line="580" w:lineRule="exact"/>
        <w:ind w:firstLine="640"/>
        <w:rPr>
          <w:rFonts w:cs="方正仿宋_GBK"/>
          <w:bCs/>
          <w:color w:val="000000" w:themeColor="text1"/>
          <w:sz w:val="32"/>
          <w:szCs w:val="32"/>
          <w14:textFill>
            <w14:solidFill>
              <w14:schemeClr w14:val="tx1"/>
            </w14:solidFill>
          </w14:textFill>
        </w:rPr>
      </w:pPr>
    </w:p>
    <w:p>
      <w:pPr>
        <w:spacing w:line="580" w:lineRule="exact"/>
        <w:ind w:firstLine="640" w:firstLineChars="200"/>
        <w:outlineLvl w:val="2"/>
        <w:rPr>
          <w:rFonts w:cs="方正仿宋_GBK"/>
          <w:bCs/>
          <w:color w:val="000000" w:themeColor="text1"/>
          <w:sz w:val="32"/>
          <w:szCs w:val="32"/>
          <w14:textFill>
            <w14:solidFill>
              <w14:schemeClr w14:val="tx1"/>
            </w14:solidFill>
          </w14:textFill>
        </w:rPr>
      </w:pPr>
      <w:r>
        <w:rPr>
          <w:rFonts w:hint="eastAsia" w:eastAsia="方正黑体_GBK" w:cs="方正仿宋_GBK"/>
          <w:bCs/>
          <w:color w:val="000000" w:themeColor="text1"/>
          <w:sz w:val="32"/>
          <w:szCs w:val="32"/>
          <w14:textFill>
            <w14:solidFill>
              <w14:schemeClr w14:val="tx1"/>
            </w14:solidFill>
          </w14:textFill>
        </w:rPr>
        <w:t>一、主导产业布局</w:t>
      </w:r>
    </w:p>
    <w:p>
      <w:pPr>
        <w:spacing w:line="580" w:lineRule="exact"/>
        <w:ind w:firstLine="640" w:firstLineChars="200"/>
        <w:outlineLvl w:val="2"/>
        <w:rPr>
          <w:rFonts w:cs="方正仿宋_GBK"/>
          <w:bCs/>
          <w:color w:val="000000" w:themeColor="text1"/>
          <w:sz w:val="32"/>
          <w:szCs w:val="32"/>
          <w14:textFill>
            <w14:solidFill>
              <w14:schemeClr w14:val="tx1"/>
            </w14:solidFill>
          </w14:textFill>
        </w:rPr>
      </w:pPr>
      <w:r>
        <w:rPr>
          <w:rFonts w:hint="eastAsia" w:cs="方正仿宋_GBK"/>
          <w:bCs/>
          <w:color w:val="000000" w:themeColor="text1"/>
          <w:sz w:val="32"/>
          <w:szCs w:val="32"/>
          <w14:textFill>
            <w14:solidFill>
              <w14:schemeClr w14:val="tx1"/>
            </w14:solidFill>
          </w14:textFill>
        </w:rPr>
        <w:t>在全市6大主导产业中，泗阳县主要承担绿色食品（食品加工）、高端纺织（化纤、纺织服装）、绿色家居（高端家居）、新材料（膜材料）等4大产业、5个细分产业的布局发展任务。其中：</w:t>
      </w:r>
      <w:r>
        <w:rPr>
          <w:rFonts w:hint="eastAsia" w:cs="方正仿宋_GBK"/>
          <w:b/>
          <w:color w:val="000000" w:themeColor="text1"/>
          <w:sz w:val="32"/>
          <w:szCs w:val="32"/>
          <w14:textFill>
            <w14:solidFill>
              <w14:schemeClr w14:val="tx1"/>
            </w14:solidFill>
          </w14:textFill>
        </w:rPr>
        <w:t>食品加工产业</w:t>
      </w:r>
      <w:r>
        <w:rPr>
          <w:rFonts w:hint="eastAsia" w:cs="方正仿宋_GBK"/>
          <w:bCs/>
          <w:color w:val="000000" w:themeColor="text1"/>
          <w:sz w:val="32"/>
          <w:szCs w:val="32"/>
          <w14:textFill>
            <w14:solidFill>
              <w14:schemeClr w14:val="tx1"/>
            </w14:solidFill>
          </w14:textFill>
        </w:rPr>
        <w:t>，重点发展休闲类食品、饮料产品、食用菌、水饺等特色产品。</w:t>
      </w:r>
      <w:r>
        <w:rPr>
          <w:rFonts w:hint="eastAsia" w:cs="方正仿宋_GBK"/>
          <w:b/>
          <w:color w:val="000000" w:themeColor="text1"/>
          <w:sz w:val="32"/>
          <w:szCs w:val="32"/>
          <w14:textFill>
            <w14:solidFill>
              <w14:schemeClr w14:val="tx1"/>
            </w14:solidFill>
          </w14:textFill>
        </w:rPr>
        <w:t>化纤产业</w:t>
      </w:r>
      <w:r>
        <w:rPr>
          <w:rFonts w:hint="eastAsia" w:cs="方正仿宋_GBK"/>
          <w:bCs/>
          <w:color w:val="000000" w:themeColor="text1"/>
          <w:sz w:val="32"/>
          <w:szCs w:val="32"/>
          <w14:textFill>
            <w14:solidFill>
              <w14:schemeClr w14:val="tx1"/>
            </w14:solidFill>
          </w14:textFill>
        </w:rPr>
        <w:t>，发展高性能化纤纤维、再生纤维等特色产品。</w:t>
      </w:r>
      <w:r>
        <w:rPr>
          <w:rFonts w:hint="eastAsia" w:cs="方正仿宋_GBK"/>
          <w:b/>
          <w:color w:val="000000" w:themeColor="text1"/>
          <w:sz w:val="32"/>
          <w:szCs w:val="32"/>
          <w14:textFill>
            <w14:solidFill>
              <w14:schemeClr w14:val="tx1"/>
            </w14:solidFill>
          </w14:textFill>
        </w:rPr>
        <w:t>纺织服装产业</w:t>
      </w:r>
      <w:r>
        <w:rPr>
          <w:rFonts w:hint="eastAsia" w:cs="方正仿宋_GBK"/>
          <w:bCs/>
          <w:color w:val="000000" w:themeColor="text1"/>
          <w:sz w:val="32"/>
          <w:szCs w:val="32"/>
          <w14:textFill>
            <w14:solidFill>
              <w14:schemeClr w14:val="tx1"/>
            </w14:solidFill>
          </w14:textFill>
        </w:rPr>
        <w:t>，发展纺纱、织造、染整、家纺等特色产品。以及衬衣、针织帽、针织袜等服装服饰特色产品。</w:t>
      </w:r>
      <w:r>
        <w:rPr>
          <w:rFonts w:hint="eastAsia" w:cs="方正仿宋_GBK"/>
          <w:b/>
          <w:color w:val="000000" w:themeColor="text1"/>
          <w:sz w:val="32"/>
          <w:szCs w:val="32"/>
          <w14:textFill>
            <w14:solidFill>
              <w14:schemeClr w14:val="tx1"/>
            </w14:solidFill>
          </w14:textFill>
        </w:rPr>
        <w:t>高端家居产业</w:t>
      </w:r>
      <w:r>
        <w:rPr>
          <w:rFonts w:hint="eastAsia" w:cs="方正仿宋_GBK"/>
          <w:bCs/>
          <w:color w:val="000000" w:themeColor="text1"/>
          <w:sz w:val="32"/>
          <w:szCs w:val="32"/>
          <w14:textFill>
            <w14:solidFill>
              <w14:schemeClr w14:val="tx1"/>
            </w14:solidFill>
          </w14:textFill>
        </w:rPr>
        <w:t>，发展胶合板、刨花板、地板、木门、定制家具、智能家居等特色产品。</w:t>
      </w:r>
      <w:r>
        <w:rPr>
          <w:rFonts w:hint="eastAsia" w:cs="方正仿宋_GBK"/>
          <w:b/>
          <w:color w:val="000000" w:themeColor="text1"/>
          <w:sz w:val="32"/>
          <w:szCs w:val="32"/>
          <w14:textFill>
            <w14:solidFill>
              <w14:schemeClr w14:val="tx1"/>
            </w14:solidFill>
          </w14:textFill>
        </w:rPr>
        <w:t>膜材料产业</w:t>
      </w:r>
      <w:r>
        <w:rPr>
          <w:rFonts w:hint="eastAsia" w:cs="方正仿宋_GBK"/>
          <w:bCs/>
          <w:color w:val="000000" w:themeColor="text1"/>
          <w:sz w:val="32"/>
          <w:szCs w:val="32"/>
          <w14:textFill>
            <w14:solidFill>
              <w14:schemeClr w14:val="tx1"/>
            </w14:solidFill>
          </w14:textFill>
        </w:rPr>
        <w:t>，重点发展新型包装材料等特色产品。</w:t>
      </w:r>
    </w:p>
    <w:p>
      <w:pPr>
        <w:spacing w:line="580" w:lineRule="exact"/>
        <w:ind w:firstLine="640" w:firstLineChars="200"/>
        <w:outlineLvl w:val="2"/>
        <w:rPr>
          <w:rFonts w:eastAsia="方正黑体_GBK" w:cs="方正仿宋_GBK"/>
          <w:bCs/>
          <w:color w:val="000000" w:themeColor="text1"/>
          <w:sz w:val="32"/>
          <w:szCs w:val="32"/>
          <w14:textFill>
            <w14:solidFill>
              <w14:schemeClr w14:val="tx1"/>
            </w14:solidFill>
          </w14:textFill>
        </w:rPr>
      </w:pPr>
      <w:r>
        <w:rPr>
          <w:rFonts w:hint="eastAsia" w:eastAsia="方正黑体_GBK" w:cs="方正仿宋_GBK"/>
          <w:bCs/>
          <w:color w:val="000000" w:themeColor="text1"/>
          <w:sz w:val="32"/>
          <w:szCs w:val="32"/>
          <w14:textFill>
            <w14:solidFill>
              <w14:schemeClr w14:val="tx1"/>
            </w14:solidFill>
          </w14:textFill>
        </w:rPr>
        <w:t>二、先导产业布局</w:t>
      </w:r>
    </w:p>
    <w:p>
      <w:pPr>
        <w:spacing w:line="580" w:lineRule="exact"/>
        <w:ind w:firstLine="640" w:firstLineChars="200"/>
        <w:outlineLvl w:val="2"/>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在全市3个先导产业中，泗阳县重点承担新一代信息技术（电子元器件）、生物医药2个产业的布局发展任务。其中：</w:t>
      </w:r>
      <w:r>
        <w:rPr>
          <w:rFonts w:hint="eastAsia"/>
          <w:b/>
          <w:bCs/>
          <w:color w:val="000000" w:themeColor="text1"/>
          <w:sz w:val="32"/>
          <w:szCs w:val="32"/>
          <w14:textFill>
            <w14:solidFill>
              <w14:schemeClr w14:val="tx1"/>
            </w14:solidFill>
          </w14:textFill>
        </w:rPr>
        <w:t>电子元器件产业，</w:t>
      </w:r>
      <w:r>
        <w:rPr>
          <w:rFonts w:hint="eastAsia"/>
          <w:color w:val="000000" w:themeColor="text1"/>
          <w:sz w:val="32"/>
          <w:szCs w:val="32"/>
          <w14:textFill>
            <w14:solidFill>
              <w14:schemeClr w14:val="tx1"/>
            </w14:solidFill>
          </w14:textFill>
        </w:rPr>
        <w:t>优先发展半导体封测、柔性线路板、PCB板等特色产品。</w:t>
      </w:r>
      <w:r>
        <w:rPr>
          <w:rFonts w:hint="eastAsia"/>
          <w:b/>
          <w:bCs/>
          <w:color w:val="000000" w:themeColor="text1"/>
          <w:sz w:val="32"/>
          <w:szCs w:val="32"/>
          <w14:textFill>
            <w14:solidFill>
              <w14:schemeClr w14:val="tx1"/>
            </w14:solidFill>
          </w14:textFill>
        </w:rPr>
        <w:t>生物医药产业，</w:t>
      </w:r>
      <w:r>
        <w:rPr>
          <w:rFonts w:hint="eastAsia"/>
          <w:color w:val="000000" w:themeColor="text1"/>
          <w:sz w:val="32"/>
          <w:szCs w:val="32"/>
          <w14:textFill>
            <w14:solidFill>
              <w14:schemeClr w14:val="tx1"/>
            </w14:solidFill>
          </w14:textFill>
        </w:rPr>
        <w:t>重点开展病毒类、小核酸类创新生物药物的研发，快速推进呼吸系统、消化系统、心脑血管系统、抗感染类和抗肿瘤类新药产品。</w:t>
      </w:r>
    </w:p>
    <w:p>
      <w:pPr>
        <w:spacing w:line="580" w:lineRule="exact"/>
        <w:rPr>
          <w:rFonts w:cs="方正仿宋_GBK"/>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36" w:name="_Toc7584"/>
      <w:bookmarkStart w:id="37" w:name="_Toc75019418"/>
      <w:r>
        <w:rPr>
          <w:rFonts w:hint="eastAsia" w:ascii="Times New Roman" w:hAnsi="Times New Roman" w:eastAsia="方正楷体_GBK"/>
          <w:b w:val="0"/>
          <w:color w:val="000000" w:themeColor="text1"/>
          <w14:textFill>
            <w14:solidFill>
              <w14:schemeClr w14:val="tx1"/>
            </w14:solidFill>
          </w14:textFill>
        </w:rPr>
        <w:t>第三节  泗洪县产业布局</w:t>
      </w:r>
      <w:bookmarkEnd w:id="36"/>
      <w:bookmarkEnd w:id="37"/>
    </w:p>
    <w:p>
      <w:pPr>
        <w:spacing w:line="580" w:lineRule="exact"/>
        <w:ind w:firstLine="643" w:firstLineChars="200"/>
        <w:rPr>
          <w:rFonts w:cs="方正仿宋_GBK"/>
          <w:b/>
          <w:bCs/>
          <w:color w:val="000000" w:themeColor="text1"/>
          <w:sz w:val="32"/>
          <w:szCs w:val="32"/>
          <w14:textFill>
            <w14:solidFill>
              <w14:schemeClr w14:val="tx1"/>
            </w14:solidFill>
          </w14:textFill>
        </w:rPr>
      </w:pPr>
    </w:p>
    <w:p>
      <w:pPr>
        <w:spacing w:line="580" w:lineRule="exact"/>
        <w:ind w:firstLine="640" w:firstLineChars="200"/>
        <w:outlineLvl w:val="2"/>
        <w:rPr>
          <w:rFonts w:eastAsia="方正黑体_GBK" w:cs="方正仿宋_GBK"/>
          <w:bCs/>
          <w:color w:val="000000" w:themeColor="text1"/>
          <w:sz w:val="32"/>
          <w:szCs w:val="32"/>
          <w14:textFill>
            <w14:solidFill>
              <w14:schemeClr w14:val="tx1"/>
            </w14:solidFill>
          </w14:textFill>
        </w:rPr>
      </w:pPr>
      <w:r>
        <w:rPr>
          <w:rFonts w:hint="eastAsia" w:eastAsia="方正黑体_GBK" w:cs="方正仿宋_GBK"/>
          <w:bCs/>
          <w:color w:val="000000" w:themeColor="text1"/>
          <w:sz w:val="32"/>
          <w:szCs w:val="32"/>
          <w14:textFill>
            <w14:solidFill>
              <w14:schemeClr w14:val="tx1"/>
            </w14:solidFill>
          </w14:textFill>
        </w:rPr>
        <w:t>一、主导产业布局</w:t>
      </w:r>
    </w:p>
    <w:p>
      <w:pPr>
        <w:spacing w:line="580" w:lineRule="exact"/>
        <w:ind w:firstLine="640" w:firstLineChars="200"/>
        <w:rPr>
          <w:color w:val="000000" w:themeColor="text1"/>
          <w:sz w:val="32"/>
          <w:szCs w:val="32"/>
          <w14:textFill>
            <w14:solidFill>
              <w14:schemeClr w14:val="tx1"/>
            </w14:solidFill>
          </w14:textFill>
        </w:rPr>
      </w:pPr>
      <w:r>
        <w:rPr>
          <w:rFonts w:hint="eastAsia" w:cs="方正仿宋_GBK"/>
          <w:bCs/>
          <w:color w:val="000000" w:themeColor="text1"/>
          <w:sz w:val="32"/>
          <w:szCs w:val="32"/>
          <w14:textFill>
            <w14:solidFill>
              <w14:schemeClr w14:val="tx1"/>
            </w14:solidFill>
          </w14:textFill>
        </w:rPr>
        <w:t>在全市6大主导产业中，泗洪县主要承担机电装备（装备制造、新型电池、汽车及零部件）、绿色食品（酿造（</w:t>
      </w:r>
      <w:r>
        <w:rPr>
          <w:rFonts w:hint="eastAsia"/>
          <w:color w:val="000000" w:themeColor="text1"/>
          <w:sz w:val="32"/>
          <w:szCs w:val="32"/>
          <w14:textFill>
            <w14:solidFill>
              <w14:schemeClr w14:val="tx1"/>
            </w14:solidFill>
          </w14:textFill>
        </w:rPr>
        <w:t>酒</w:t>
      </w:r>
      <w:r>
        <w:rPr>
          <w:rFonts w:hint="eastAsia" w:cs="方正仿宋_GBK"/>
          <w:bCs/>
          <w:color w:val="000000" w:themeColor="text1"/>
          <w:sz w:val="32"/>
          <w:szCs w:val="32"/>
          <w14:textFill>
            <w14:solidFill>
              <w14:schemeClr w14:val="tx1"/>
            </w14:solidFill>
          </w14:textFill>
        </w:rPr>
        <w:t>）</w:t>
      </w:r>
      <w:r>
        <w:rPr>
          <w:rFonts w:hint="eastAsia"/>
          <w:color w:val="000000" w:themeColor="text1"/>
          <w:sz w:val="32"/>
          <w:szCs w:val="32"/>
          <w14:textFill>
            <w14:solidFill>
              <w14:schemeClr w14:val="tx1"/>
            </w14:solidFill>
          </w14:textFill>
        </w:rPr>
        <w:t>、畜禽和水产品精深加工）、光伏新能源、新材料（膜材料）等4大产业、7个细分产业的布局发展任务。其中：</w:t>
      </w:r>
      <w:r>
        <w:rPr>
          <w:rFonts w:hint="eastAsia"/>
          <w:b/>
          <w:color w:val="000000" w:themeColor="text1"/>
          <w:sz w:val="32"/>
          <w:szCs w:val="32"/>
          <w14:textFill>
            <w14:solidFill>
              <w14:schemeClr w14:val="tx1"/>
            </w14:solidFill>
          </w14:textFill>
        </w:rPr>
        <w:t>装备制造产业</w:t>
      </w:r>
      <w:r>
        <w:rPr>
          <w:rFonts w:hint="eastAsia"/>
          <w:color w:val="000000" w:themeColor="text1"/>
          <w:sz w:val="32"/>
          <w:szCs w:val="32"/>
          <w14:textFill>
            <w14:solidFill>
              <w14:schemeClr w14:val="tx1"/>
            </w14:solidFill>
          </w14:textFill>
        </w:rPr>
        <w:t>，依托泗洪经开区绿色智能装备产业园和常熟泗洪工业园区，重点发展智能成套装备和高端数控机床等特色产品。</w:t>
      </w:r>
      <w:r>
        <w:rPr>
          <w:rFonts w:hint="eastAsia"/>
          <w:b/>
          <w:color w:val="000000" w:themeColor="text1"/>
          <w:sz w:val="32"/>
          <w:szCs w:val="32"/>
          <w14:textFill>
            <w14:solidFill>
              <w14:schemeClr w14:val="tx1"/>
            </w14:solidFill>
          </w14:textFill>
        </w:rPr>
        <w:t>新型电池产业</w:t>
      </w:r>
      <w:r>
        <w:rPr>
          <w:rFonts w:hint="eastAsia"/>
          <w:color w:val="000000" w:themeColor="text1"/>
          <w:sz w:val="32"/>
          <w:szCs w:val="32"/>
          <w14:textFill>
            <w14:solidFill>
              <w14:schemeClr w14:val="tx1"/>
            </w14:solidFill>
          </w14:textFill>
        </w:rPr>
        <w:t>，重点发展储能电池和动力电池等特色产品。</w:t>
      </w:r>
      <w:r>
        <w:rPr>
          <w:rFonts w:hint="eastAsia"/>
          <w:b/>
          <w:color w:val="000000" w:themeColor="text1"/>
          <w:sz w:val="32"/>
          <w:szCs w:val="32"/>
          <w14:textFill>
            <w14:solidFill>
              <w14:schemeClr w14:val="tx1"/>
            </w14:solidFill>
          </w14:textFill>
        </w:rPr>
        <w:t>汽车及零部件产业</w:t>
      </w:r>
      <w:r>
        <w:rPr>
          <w:rFonts w:hint="eastAsia"/>
          <w:color w:val="000000" w:themeColor="text1"/>
          <w:sz w:val="32"/>
          <w:szCs w:val="32"/>
          <w14:textFill>
            <w14:solidFill>
              <w14:schemeClr w14:val="tx1"/>
            </w14:solidFill>
          </w14:textFill>
        </w:rPr>
        <w:t>，重点发展汽车动力系统、行驶系统、智能网联系统总成及零部件等特色产品。</w:t>
      </w:r>
      <w:r>
        <w:rPr>
          <w:rFonts w:hint="eastAsia"/>
          <w:b/>
          <w:color w:val="000000" w:themeColor="text1"/>
          <w:sz w:val="32"/>
          <w:szCs w:val="32"/>
          <w14:textFill>
            <w14:solidFill>
              <w14:schemeClr w14:val="tx1"/>
            </w14:solidFill>
          </w14:textFill>
        </w:rPr>
        <w:t>酿造（酒）产业</w:t>
      </w:r>
      <w:r>
        <w:rPr>
          <w:rFonts w:hint="eastAsia"/>
          <w:color w:val="000000" w:themeColor="text1"/>
          <w:sz w:val="32"/>
          <w:szCs w:val="32"/>
          <w14:textFill>
            <w14:solidFill>
              <w14:schemeClr w14:val="tx1"/>
            </w14:solidFill>
          </w14:textFill>
        </w:rPr>
        <w:t>，依托双沟股份、双沟酿酒厂等龙头企业，进一步强化高端健康白酒品牌优势，探索新业态新产品。</w:t>
      </w:r>
      <w:r>
        <w:rPr>
          <w:rFonts w:hint="eastAsia"/>
          <w:b/>
          <w:color w:val="000000" w:themeColor="text1"/>
          <w:sz w:val="32"/>
          <w:szCs w:val="32"/>
          <w14:textFill>
            <w14:solidFill>
              <w14:schemeClr w14:val="tx1"/>
            </w14:solidFill>
          </w14:textFill>
        </w:rPr>
        <w:t>畜禽和水产品精深加工产业</w:t>
      </w:r>
      <w:r>
        <w:rPr>
          <w:rFonts w:hint="eastAsia"/>
          <w:color w:val="000000" w:themeColor="text1"/>
          <w:sz w:val="32"/>
          <w:szCs w:val="32"/>
          <w14:textFill>
            <w14:solidFill>
              <w14:schemeClr w14:val="tx1"/>
            </w14:solidFill>
          </w14:textFill>
        </w:rPr>
        <w:t>，大力推动种养化一体化，提供畜禽和水产品品质，打造特色肉制品品牌。</w:t>
      </w:r>
      <w:r>
        <w:rPr>
          <w:rFonts w:hint="eastAsia"/>
          <w:b/>
          <w:color w:val="000000" w:themeColor="text1"/>
          <w:sz w:val="32"/>
          <w:szCs w:val="32"/>
          <w14:textFill>
            <w14:solidFill>
              <w14:schemeClr w14:val="tx1"/>
            </w14:solidFill>
          </w14:textFill>
        </w:rPr>
        <w:t>光伏新能源产业</w:t>
      </w:r>
      <w:r>
        <w:rPr>
          <w:rFonts w:hint="eastAsia"/>
          <w:color w:val="000000" w:themeColor="text1"/>
          <w:sz w:val="32"/>
          <w:szCs w:val="32"/>
          <w14:textFill>
            <w14:solidFill>
              <w14:schemeClr w14:val="tx1"/>
            </w14:solidFill>
          </w14:textFill>
        </w:rPr>
        <w:t>，重点发展光伏电池原材料、电池片及组件和配套部件，打造光伏全产业链。</w:t>
      </w:r>
      <w:r>
        <w:rPr>
          <w:rFonts w:hint="eastAsia"/>
          <w:b/>
          <w:color w:val="000000" w:themeColor="text1"/>
          <w:sz w:val="32"/>
          <w:szCs w:val="32"/>
          <w14:textFill>
            <w14:solidFill>
              <w14:schemeClr w14:val="tx1"/>
            </w14:solidFill>
          </w14:textFill>
        </w:rPr>
        <w:t>膜材料产业</w:t>
      </w:r>
      <w:r>
        <w:rPr>
          <w:rFonts w:hint="eastAsia"/>
          <w:color w:val="000000" w:themeColor="text1"/>
          <w:sz w:val="32"/>
          <w:szCs w:val="32"/>
          <w14:textFill>
            <w14:solidFill>
              <w14:schemeClr w14:val="tx1"/>
            </w14:solidFill>
          </w14:textFill>
        </w:rPr>
        <w:t>，重点发展功能膜制造，打造新型膜材料全产业链。</w:t>
      </w:r>
    </w:p>
    <w:p>
      <w:pPr>
        <w:spacing w:line="580" w:lineRule="exact"/>
        <w:ind w:firstLine="640" w:firstLineChars="200"/>
        <w:outlineLvl w:val="2"/>
        <w:rPr>
          <w:rFonts w:eastAsia="方正黑体_GBK" w:cs="方正仿宋_GBK"/>
          <w:bCs/>
          <w:color w:val="000000" w:themeColor="text1"/>
          <w:sz w:val="32"/>
          <w:szCs w:val="32"/>
          <w14:textFill>
            <w14:solidFill>
              <w14:schemeClr w14:val="tx1"/>
            </w14:solidFill>
          </w14:textFill>
        </w:rPr>
      </w:pPr>
      <w:r>
        <w:rPr>
          <w:rFonts w:hint="eastAsia" w:eastAsia="方正黑体_GBK" w:cs="方正仿宋_GBK"/>
          <w:bCs/>
          <w:color w:val="000000" w:themeColor="text1"/>
          <w:sz w:val="32"/>
          <w:szCs w:val="32"/>
          <w14:textFill>
            <w14:solidFill>
              <w14:schemeClr w14:val="tx1"/>
            </w14:solidFill>
          </w14:textFill>
        </w:rPr>
        <w:t>二、先导产业布局</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在全市3个先导产业中，泗洪县</w:t>
      </w:r>
      <w:r>
        <w:rPr>
          <w:rFonts w:hint="eastAsia" w:cs="方正仿宋_GBK"/>
          <w:bCs/>
          <w:color w:val="000000" w:themeColor="text1"/>
          <w:sz w:val="32"/>
          <w:szCs w:val="32"/>
          <w14:textFill>
            <w14:solidFill>
              <w14:schemeClr w14:val="tx1"/>
            </w14:solidFill>
          </w14:textFill>
        </w:rPr>
        <w:t>主要承担新一代信息技术产业的集成电路、电子元器件、智能终端3个细分产业</w:t>
      </w:r>
      <w:r>
        <w:rPr>
          <w:rFonts w:hint="eastAsia"/>
          <w:color w:val="000000" w:themeColor="text1"/>
          <w:sz w:val="32"/>
          <w:szCs w:val="32"/>
          <w14:textFill>
            <w14:solidFill>
              <w14:schemeClr w14:val="tx1"/>
            </w14:solidFill>
          </w14:textFill>
        </w:rPr>
        <w:t>布局发展任务。其中：</w:t>
      </w:r>
      <w:r>
        <w:rPr>
          <w:rFonts w:hint="eastAsia"/>
          <w:b/>
          <w:color w:val="000000" w:themeColor="text1"/>
          <w:sz w:val="32"/>
          <w:szCs w:val="32"/>
          <w14:textFill>
            <w14:solidFill>
              <w14:schemeClr w14:val="tx1"/>
            </w14:solidFill>
          </w14:textFill>
        </w:rPr>
        <w:t>集成电路产业</w:t>
      </w:r>
      <w:r>
        <w:rPr>
          <w:rFonts w:hint="eastAsia"/>
          <w:color w:val="000000" w:themeColor="text1"/>
          <w:sz w:val="32"/>
          <w:szCs w:val="32"/>
          <w14:textFill>
            <w14:solidFill>
              <w14:schemeClr w14:val="tx1"/>
            </w14:solidFill>
          </w14:textFill>
        </w:rPr>
        <w:t>，优先发展封装测试及中端集成电路产品制造。</w:t>
      </w:r>
      <w:r>
        <w:rPr>
          <w:rFonts w:hint="eastAsia"/>
          <w:b/>
          <w:color w:val="000000" w:themeColor="text1"/>
          <w:sz w:val="32"/>
          <w:szCs w:val="32"/>
          <w14:textFill>
            <w14:solidFill>
              <w14:schemeClr w14:val="tx1"/>
            </w14:solidFill>
          </w14:textFill>
        </w:rPr>
        <w:t>电子元器件产业</w:t>
      </w:r>
      <w:r>
        <w:rPr>
          <w:rFonts w:hint="eastAsia"/>
          <w:color w:val="000000" w:themeColor="text1"/>
          <w:sz w:val="32"/>
          <w:szCs w:val="32"/>
          <w14:textFill>
            <w14:solidFill>
              <w14:schemeClr w14:val="tx1"/>
            </w14:solidFill>
          </w14:textFill>
        </w:rPr>
        <w:t>，重点发展电感器、声学/光学部件等特色产品。</w:t>
      </w:r>
      <w:r>
        <w:rPr>
          <w:rFonts w:hint="eastAsia"/>
          <w:b/>
          <w:color w:val="000000" w:themeColor="text1"/>
          <w:sz w:val="32"/>
          <w:szCs w:val="32"/>
          <w14:textFill>
            <w14:solidFill>
              <w14:schemeClr w14:val="tx1"/>
            </w14:solidFill>
          </w14:textFill>
        </w:rPr>
        <w:t>智能终端产业</w:t>
      </w:r>
      <w:r>
        <w:rPr>
          <w:rFonts w:hint="eastAsia"/>
          <w:color w:val="000000" w:themeColor="text1"/>
          <w:sz w:val="32"/>
          <w:szCs w:val="32"/>
          <w14:textFill>
            <w14:solidFill>
              <w14:schemeClr w14:val="tx1"/>
            </w14:solidFill>
          </w14:textFill>
        </w:rPr>
        <w:t>，重点发展舞台灯光智能控制器、消费服务机器人等特色产品。</w:t>
      </w:r>
    </w:p>
    <w:p>
      <w:pPr>
        <w:spacing w:line="580" w:lineRule="exact"/>
        <w:ind w:firstLine="640" w:firstLineChars="200"/>
        <w:rPr>
          <w:color w:val="000000" w:themeColor="text1"/>
          <w:sz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38" w:name="_Toc28602"/>
      <w:bookmarkStart w:id="39" w:name="_Toc75019419"/>
      <w:r>
        <w:rPr>
          <w:rFonts w:hint="eastAsia" w:ascii="Times New Roman" w:hAnsi="Times New Roman" w:eastAsia="方正楷体_GBK"/>
          <w:b w:val="0"/>
          <w:color w:val="000000" w:themeColor="text1"/>
          <w14:textFill>
            <w14:solidFill>
              <w14:schemeClr w14:val="tx1"/>
            </w14:solidFill>
          </w14:textFill>
        </w:rPr>
        <w:t>第四节  宿豫区产业布局</w:t>
      </w:r>
      <w:bookmarkEnd w:id="38"/>
      <w:bookmarkEnd w:id="39"/>
    </w:p>
    <w:p>
      <w:pPr>
        <w:spacing w:line="580" w:lineRule="exact"/>
        <w:ind w:firstLine="643" w:firstLineChars="200"/>
        <w:rPr>
          <w:rFonts w:cs="方正仿宋_GBK"/>
          <w:b/>
          <w:bCs/>
          <w:color w:val="000000" w:themeColor="text1"/>
          <w:sz w:val="32"/>
          <w:szCs w:val="32"/>
          <w14:textFill>
            <w14:solidFill>
              <w14:schemeClr w14:val="tx1"/>
            </w14:solidFill>
          </w14:textFill>
        </w:rPr>
      </w:pPr>
    </w:p>
    <w:p>
      <w:pPr>
        <w:spacing w:line="580" w:lineRule="exact"/>
        <w:ind w:firstLine="640" w:firstLineChars="200"/>
        <w:outlineLvl w:val="2"/>
        <w:rPr>
          <w:rFonts w:eastAsia="方正黑体_GBK" w:cs="方正仿宋_GBK"/>
          <w:bCs/>
          <w:color w:val="000000" w:themeColor="text1"/>
          <w:sz w:val="32"/>
          <w:szCs w:val="32"/>
          <w14:textFill>
            <w14:solidFill>
              <w14:schemeClr w14:val="tx1"/>
            </w14:solidFill>
          </w14:textFill>
        </w:rPr>
      </w:pPr>
      <w:r>
        <w:rPr>
          <w:rFonts w:hint="eastAsia" w:eastAsia="方正黑体_GBK" w:cs="方正仿宋_GBK"/>
          <w:bCs/>
          <w:color w:val="000000" w:themeColor="text1"/>
          <w:sz w:val="32"/>
          <w:szCs w:val="32"/>
          <w14:textFill>
            <w14:solidFill>
              <w14:schemeClr w14:val="tx1"/>
            </w14:solidFill>
          </w14:textFill>
        </w:rPr>
        <w:t>一、主导产业布局</w:t>
      </w:r>
    </w:p>
    <w:p>
      <w:pPr>
        <w:spacing w:line="580" w:lineRule="exact"/>
        <w:ind w:firstLine="640" w:firstLineChars="200"/>
        <w:rPr>
          <w:rFonts w:cs="方正仿宋_GBK"/>
          <w:bCs/>
          <w:color w:val="000000" w:themeColor="text1"/>
          <w:sz w:val="32"/>
          <w:szCs w:val="32"/>
          <w14:textFill>
            <w14:solidFill>
              <w14:schemeClr w14:val="tx1"/>
            </w14:solidFill>
          </w14:textFill>
        </w:rPr>
      </w:pPr>
      <w:r>
        <w:rPr>
          <w:rFonts w:hint="eastAsia" w:cs="方正仿宋_GBK"/>
          <w:bCs/>
          <w:color w:val="000000" w:themeColor="text1"/>
          <w:sz w:val="32"/>
          <w:szCs w:val="32"/>
          <w14:textFill>
            <w14:solidFill>
              <w14:schemeClr w14:val="tx1"/>
            </w14:solidFill>
          </w14:textFill>
        </w:rPr>
        <w:t>在全市6大主导产业中，宿豫区主要承担机电装备（装备制造）、绿色食品（酿造（酒）、</w:t>
      </w:r>
      <w:r>
        <w:rPr>
          <w:rFonts w:hint="eastAsia"/>
          <w:bCs/>
          <w:color w:val="000000" w:themeColor="text1"/>
          <w:sz w:val="32"/>
          <w:szCs w:val="32"/>
          <w14:textFill>
            <w14:solidFill>
              <w14:schemeClr w14:val="tx1"/>
            </w14:solidFill>
          </w14:textFill>
        </w:rPr>
        <w:t>畜禽和水产品精深加工产业</w:t>
      </w:r>
      <w:r>
        <w:rPr>
          <w:rFonts w:hint="eastAsia" w:cs="方正仿宋_GBK"/>
          <w:bCs/>
          <w:color w:val="000000" w:themeColor="text1"/>
          <w:sz w:val="32"/>
          <w:szCs w:val="32"/>
          <w14:textFill>
            <w14:solidFill>
              <w14:schemeClr w14:val="tx1"/>
            </w14:solidFill>
          </w14:textFill>
        </w:rPr>
        <w:t>）、高端纺织（化纤）、新材料（膜材料、功能玻璃材料、有机新材料、高端金属材料）等4大产业，8个细分产业的布局发展任务。其中：</w:t>
      </w:r>
      <w:r>
        <w:rPr>
          <w:rFonts w:hint="eastAsia" w:cs="方正仿宋_GBK"/>
          <w:b/>
          <w:color w:val="000000" w:themeColor="text1"/>
          <w:sz w:val="32"/>
          <w:szCs w:val="32"/>
          <w14:textFill>
            <w14:solidFill>
              <w14:schemeClr w14:val="tx1"/>
            </w14:solidFill>
          </w14:textFill>
        </w:rPr>
        <w:t>装备制造产业</w:t>
      </w:r>
      <w:r>
        <w:rPr>
          <w:rFonts w:hint="eastAsia" w:cs="方正仿宋_GBK"/>
          <w:bCs/>
          <w:color w:val="000000" w:themeColor="text1"/>
          <w:sz w:val="32"/>
          <w:szCs w:val="32"/>
          <w14:textFill>
            <w14:solidFill>
              <w14:schemeClr w14:val="tx1"/>
            </w14:solidFill>
          </w14:textFill>
        </w:rPr>
        <w:t>，</w:t>
      </w:r>
      <w:r>
        <w:rPr>
          <w:bCs/>
          <w:color w:val="000000" w:themeColor="text1"/>
          <w:sz w:val="32"/>
          <w:szCs w:val="32"/>
          <w14:textFill>
            <w14:solidFill>
              <w14:schemeClr w14:val="tx1"/>
            </w14:solidFill>
          </w14:textFill>
        </w:rPr>
        <w:t>依托京东智能制造产业园</w:t>
      </w:r>
      <w:r>
        <w:rPr>
          <w:rFonts w:hint="eastAsia"/>
          <w:bCs/>
          <w:color w:val="000000" w:themeColor="text1"/>
          <w:sz w:val="32"/>
          <w:szCs w:val="32"/>
          <w14:textFill>
            <w14:solidFill>
              <w14:schemeClr w14:val="tx1"/>
            </w14:solidFill>
          </w14:textFill>
        </w:rPr>
        <w:t>，发展工业机器人与智能成套装备等特色产品。</w:t>
      </w:r>
      <w:r>
        <w:rPr>
          <w:rFonts w:hint="eastAsia" w:cs="方正仿宋_GBK"/>
          <w:b/>
          <w:color w:val="000000" w:themeColor="text1"/>
          <w:sz w:val="32"/>
          <w:szCs w:val="32"/>
          <w14:textFill>
            <w14:solidFill>
              <w14:schemeClr w14:val="tx1"/>
            </w14:solidFill>
          </w14:textFill>
        </w:rPr>
        <w:t>酿造（酒）产业</w:t>
      </w:r>
      <w:r>
        <w:rPr>
          <w:rFonts w:hint="eastAsia" w:cs="方正仿宋_GBK"/>
          <w:bCs/>
          <w:color w:val="000000" w:themeColor="text1"/>
          <w:sz w:val="32"/>
          <w:szCs w:val="32"/>
          <w14:textFill>
            <w14:solidFill>
              <w14:schemeClr w14:val="tx1"/>
            </w14:solidFill>
          </w14:textFill>
        </w:rPr>
        <w:t>，重点发展精酿啤酒等特色产品。</w:t>
      </w:r>
      <w:r>
        <w:rPr>
          <w:rFonts w:hint="eastAsia" w:cs="方正仿宋_GBK"/>
          <w:b/>
          <w:color w:val="000000" w:themeColor="text1"/>
          <w:sz w:val="32"/>
          <w:szCs w:val="32"/>
          <w14:textFill>
            <w14:solidFill>
              <w14:schemeClr w14:val="tx1"/>
            </w14:solidFill>
          </w14:textFill>
        </w:rPr>
        <w:t>畜禽和水产品精深加工产业，</w:t>
      </w:r>
      <w:r>
        <w:rPr>
          <w:rFonts w:hint="eastAsia"/>
          <w:bCs/>
          <w:color w:val="000000" w:themeColor="text1"/>
          <w:sz w:val="32"/>
          <w:szCs w:val="32"/>
          <w14:textFill>
            <w14:solidFill>
              <w14:schemeClr w14:val="tx1"/>
            </w14:solidFill>
          </w14:textFill>
        </w:rPr>
        <w:t>重点发展肉食深加工、烘焙食品、宠物食品、果蔬饮料、方便食品等。</w:t>
      </w:r>
      <w:r>
        <w:rPr>
          <w:rFonts w:hint="eastAsia" w:cs="方正仿宋_GBK"/>
          <w:b/>
          <w:color w:val="000000" w:themeColor="text1"/>
          <w:sz w:val="32"/>
          <w:szCs w:val="32"/>
          <w14:textFill>
            <w14:solidFill>
              <w14:schemeClr w14:val="tx1"/>
            </w14:solidFill>
          </w14:textFill>
        </w:rPr>
        <w:t>化纤产业</w:t>
      </w:r>
      <w:r>
        <w:rPr>
          <w:rFonts w:hint="eastAsia"/>
          <w:bCs/>
          <w:color w:val="000000" w:themeColor="text1"/>
          <w:sz w:val="32"/>
          <w:szCs w:val="32"/>
          <w14:textFill>
            <w14:solidFill>
              <w14:schemeClr w14:val="tx1"/>
            </w14:solidFill>
          </w14:textFill>
        </w:rPr>
        <w:t>，打造全国知名的纤维素纤维和涤纶短纤生产基地。</w:t>
      </w:r>
      <w:r>
        <w:rPr>
          <w:rFonts w:hint="eastAsia" w:cs="方正仿宋_GBK"/>
          <w:b/>
          <w:color w:val="000000" w:themeColor="text1"/>
          <w:sz w:val="32"/>
          <w:szCs w:val="32"/>
          <w14:textFill>
            <w14:solidFill>
              <w14:schemeClr w14:val="tx1"/>
            </w14:solidFill>
          </w14:textFill>
        </w:rPr>
        <w:t>膜材料产业</w:t>
      </w:r>
      <w:r>
        <w:rPr>
          <w:rFonts w:hint="eastAsia"/>
          <w:bCs/>
          <w:color w:val="000000" w:themeColor="text1"/>
          <w:sz w:val="32"/>
          <w:szCs w:val="32"/>
          <w14:textFill>
            <w14:solidFill>
              <w14:schemeClr w14:val="tx1"/>
            </w14:solidFill>
          </w14:textFill>
        </w:rPr>
        <w:t>，重点发展高性能聚酯材料。</w:t>
      </w:r>
      <w:r>
        <w:rPr>
          <w:rFonts w:hint="eastAsia" w:cs="方正仿宋_GBK"/>
          <w:b/>
          <w:color w:val="000000" w:themeColor="text1"/>
          <w:sz w:val="32"/>
          <w:szCs w:val="32"/>
          <w14:textFill>
            <w14:solidFill>
              <w14:schemeClr w14:val="tx1"/>
            </w14:solidFill>
          </w14:textFill>
        </w:rPr>
        <w:t>功能玻璃材料产业</w:t>
      </w:r>
      <w:r>
        <w:rPr>
          <w:rFonts w:hint="eastAsia"/>
          <w:bCs/>
          <w:color w:val="000000" w:themeColor="text1"/>
          <w:sz w:val="32"/>
          <w:szCs w:val="32"/>
          <w14:textFill>
            <w14:solidFill>
              <w14:schemeClr w14:val="tx1"/>
            </w14:solidFill>
          </w14:textFill>
        </w:rPr>
        <w:t>，重点发展新能源光伏玻璃特色产品。</w:t>
      </w:r>
      <w:r>
        <w:rPr>
          <w:rFonts w:hint="eastAsia" w:cs="方正仿宋_GBK"/>
          <w:b/>
          <w:color w:val="000000" w:themeColor="text1"/>
          <w:sz w:val="32"/>
          <w:szCs w:val="32"/>
          <w14:textFill>
            <w14:solidFill>
              <w14:schemeClr w14:val="tx1"/>
            </w14:solidFill>
          </w14:textFill>
        </w:rPr>
        <w:t>有机新材料产业</w:t>
      </w:r>
      <w:r>
        <w:rPr>
          <w:rFonts w:hint="eastAsia"/>
          <w:bCs/>
          <w:color w:val="000000" w:themeColor="text1"/>
          <w:sz w:val="32"/>
          <w:szCs w:val="32"/>
          <w14:textFill>
            <w14:solidFill>
              <w14:schemeClr w14:val="tx1"/>
            </w14:solidFill>
          </w14:textFill>
        </w:rPr>
        <w:t>，依托宿迁生态化工科技产业园，重点发展塑料助剂、苯基氯硅烷、N-甲基甲酰胺等基础化工产品。</w:t>
      </w:r>
      <w:r>
        <w:rPr>
          <w:rFonts w:hint="eastAsia" w:cs="方正仿宋_GBK"/>
          <w:b/>
          <w:color w:val="000000" w:themeColor="text1"/>
          <w:sz w:val="32"/>
          <w:szCs w:val="32"/>
          <w14:textFill>
            <w14:solidFill>
              <w14:schemeClr w14:val="tx1"/>
            </w14:solidFill>
          </w14:textFill>
        </w:rPr>
        <w:t>高端金属材料产业</w:t>
      </w:r>
      <w:r>
        <w:rPr>
          <w:rFonts w:hint="eastAsia"/>
          <w:bCs/>
          <w:color w:val="000000" w:themeColor="text1"/>
          <w:sz w:val="32"/>
          <w:szCs w:val="32"/>
          <w14:textFill>
            <w14:solidFill>
              <w14:schemeClr w14:val="tx1"/>
            </w14:solidFill>
          </w14:textFill>
        </w:rPr>
        <w:t>，重点发展纳米镍粉级、铜粉等高端金属粉体产品。</w:t>
      </w:r>
    </w:p>
    <w:p>
      <w:pPr>
        <w:spacing w:line="580" w:lineRule="exact"/>
        <w:ind w:firstLine="640" w:firstLineChars="200"/>
        <w:outlineLvl w:val="2"/>
        <w:rPr>
          <w:rFonts w:eastAsia="方正黑体_GBK"/>
          <w:bCs/>
          <w:color w:val="000000" w:themeColor="text1"/>
          <w:sz w:val="32"/>
          <w:szCs w:val="32"/>
          <w14:textFill>
            <w14:solidFill>
              <w14:schemeClr w14:val="tx1"/>
            </w14:solidFill>
          </w14:textFill>
        </w:rPr>
      </w:pPr>
      <w:r>
        <w:rPr>
          <w:rFonts w:hint="eastAsia" w:eastAsia="方正黑体_GBK"/>
          <w:bCs/>
          <w:color w:val="000000" w:themeColor="text1"/>
          <w:sz w:val="32"/>
          <w:szCs w:val="32"/>
          <w14:textFill>
            <w14:solidFill>
              <w14:schemeClr w14:val="tx1"/>
            </w14:solidFill>
          </w14:textFill>
        </w:rPr>
        <w:t>二、先导产业布局</w:t>
      </w:r>
    </w:p>
    <w:p>
      <w:pPr>
        <w:spacing w:line="580" w:lineRule="exact"/>
        <w:ind w:firstLine="640" w:firstLineChars="200"/>
        <w:rPr>
          <w:rFonts w:cs="方正仿宋_GBK"/>
          <w:bCs/>
          <w:color w:val="000000" w:themeColor="text1"/>
          <w:sz w:val="32"/>
          <w:szCs w:val="32"/>
          <w14:textFill>
            <w14:solidFill>
              <w14:schemeClr w14:val="tx1"/>
            </w14:solidFill>
          </w14:textFill>
        </w:rPr>
      </w:pPr>
      <w:r>
        <w:rPr>
          <w:rFonts w:hint="eastAsia" w:cs="方正仿宋_GBK"/>
          <w:bCs/>
          <w:color w:val="000000" w:themeColor="text1"/>
          <w:sz w:val="32"/>
          <w:szCs w:val="32"/>
          <w14:textFill>
            <w14:solidFill>
              <w14:schemeClr w14:val="tx1"/>
            </w14:solidFill>
          </w14:textFill>
        </w:rPr>
        <w:t>在全市3大主导产业中，宿豫区主要承担新一代信息技术（智能终端）、生物医药、数字经济3个产业的布局发展任务。其中：</w:t>
      </w:r>
      <w:r>
        <w:rPr>
          <w:rFonts w:hint="eastAsia" w:cs="方正仿宋_GBK"/>
          <w:b/>
          <w:color w:val="000000" w:themeColor="text1"/>
          <w:sz w:val="32"/>
          <w:szCs w:val="32"/>
          <w14:textFill>
            <w14:solidFill>
              <w14:schemeClr w14:val="tx1"/>
            </w14:solidFill>
          </w14:textFill>
        </w:rPr>
        <w:t>智能终端产业</w:t>
      </w:r>
      <w:r>
        <w:rPr>
          <w:rFonts w:hint="eastAsia" w:cs="方正仿宋_GBK"/>
          <w:bCs/>
          <w:color w:val="000000" w:themeColor="text1"/>
          <w:sz w:val="32"/>
          <w:szCs w:val="32"/>
          <w14:textFill>
            <w14:solidFill>
              <w14:schemeClr w14:val="tx1"/>
            </w14:solidFill>
          </w14:textFill>
        </w:rPr>
        <w:t>，</w:t>
      </w:r>
      <w:r>
        <w:rPr>
          <w:bCs/>
          <w:color w:val="000000" w:themeColor="text1"/>
          <w:sz w:val="32"/>
          <w:szCs w:val="32"/>
          <w14:textFill>
            <w14:solidFill>
              <w14:schemeClr w14:val="tx1"/>
            </w14:solidFill>
          </w14:textFill>
        </w:rPr>
        <w:t>重点发展</w:t>
      </w:r>
      <w:r>
        <w:rPr>
          <w:rFonts w:hint="eastAsia"/>
          <w:bCs/>
          <w:color w:val="000000" w:themeColor="text1"/>
          <w:sz w:val="32"/>
          <w:szCs w:val="32"/>
          <w14:textFill>
            <w14:solidFill>
              <w14:schemeClr w14:val="tx1"/>
            </w14:solidFill>
          </w14:textFill>
        </w:rPr>
        <w:t>以</w:t>
      </w:r>
      <w:r>
        <w:rPr>
          <w:bCs/>
          <w:color w:val="000000" w:themeColor="text1"/>
          <w:sz w:val="32"/>
          <w:szCs w:val="32"/>
          <w14:textFill>
            <w14:solidFill>
              <w14:schemeClr w14:val="tx1"/>
            </w14:solidFill>
          </w14:textFill>
        </w:rPr>
        <w:t>北斗智能终端与位置服务为核心的汽车导航仪等智能终端、室内位置服务、无人机、扫地机器人等特色产品，以及</w:t>
      </w:r>
      <w:r>
        <w:rPr>
          <w:rFonts w:hint="eastAsia" w:cs="方正仿宋_GBK"/>
          <w:bCs/>
          <w:color w:val="000000" w:themeColor="text1"/>
          <w:sz w:val="32"/>
          <w:szCs w:val="32"/>
          <w14:textFill>
            <w14:solidFill>
              <w14:schemeClr w14:val="tx1"/>
            </w14:solidFill>
          </w14:textFill>
        </w:rPr>
        <w:t>配套的</w:t>
      </w:r>
      <w:r>
        <w:rPr>
          <w:bCs/>
          <w:color w:val="000000" w:themeColor="text1"/>
          <w:sz w:val="32"/>
          <w:szCs w:val="32"/>
          <w14:textFill>
            <w14:solidFill>
              <w14:schemeClr w14:val="tx1"/>
            </w14:solidFill>
          </w14:textFill>
        </w:rPr>
        <w:t>汽车Tbox、传感器、无线通讯模组等关键零部件等。</w:t>
      </w:r>
      <w:r>
        <w:rPr>
          <w:b/>
          <w:color w:val="000000" w:themeColor="text1"/>
          <w:sz w:val="32"/>
          <w:szCs w:val="32"/>
          <w14:textFill>
            <w14:solidFill>
              <w14:schemeClr w14:val="tx1"/>
            </w14:solidFill>
          </w14:textFill>
        </w:rPr>
        <w:t>生物医药产业</w:t>
      </w:r>
      <w:r>
        <w:rPr>
          <w:bCs/>
          <w:color w:val="000000" w:themeColor="text1"/>
          <w:sz w:val="32"/>
          <w:szCs w:val="32"/>
          <w14:textFill>
            <w14:solidFill>
              <w14:schemeClr w14:val="tx1"/>
            </w14:solidFill>
          </w14:textFill>
        </w:rPr>
        <w:t>，</w:t>
      </w:r>
      <w:r>
        <w:rPr>
          <w:rFonts w:hint="eastAsia"/>
          <w:bCs/>
          <w:color w:val="000000" w:themeColor="text1"/>
          <w:sz w:val="32"/>
          <w:szCs w:val="32"/>
          <w14:textFill>
            <w14:solidFill>
              <w14:schemeClr w14:val="tx1"/>
            </w14:solidFill>
          </w14:textFill>
        </w:rPr>
        <w:t>依托宿迁生态化工科技产业园，重点发展化学原料药及制剂、生物药等特色产品。</w:t>
      </w:r>
      <w:r>
        <w:rPr>
          <w:rFonts w:hint="eastAsia"/>
          <w:b/>
          <w:color w:val="000000" w:themeColor="text1"/>
          <w:sz w:val="32"/>
          <w:szCs w:val="32"/>
          <w14:textFill>
            <w14:solidFill>
              <w14:schemeClr w14:val="tx1"/>
            </w14:solidFill>
          </w14:textFill>
        </w:rPr>
        <w:t>数字经济产业</w:t>
      </w:r>
      <w:r>
        <w:rPr>
          <w:rFonts w:hint="eastAsia" w:cs="方正仿宋_GBK"/>
          <w:bCs/>
          <w:color w:val="000000" w:themeColor="text1"/>
          <w:sz w:val="32"/>
          <w:szCs w:val="32"/>
          <w14:textFill>
            <w14:solidFill>
              <w14:schemeClr w14:val="tx1"/>
            </w14:solidFill>
          </w14:textFill>
        </w:rPr>
        <w:t>，以京东集团为核心，淮海经济区仓储物流中心、京东智慧城和京东物流平行总部为载体，发展集客服增值中心、工业物联网、大数据中心、智慧物流、互联网金融等资源，赋能品牌共同体的京东系产业生态。</w:t>
      </w:r>
    </w:p>
    <w:p>
      <w:pPr>
        <w:spacing w:line="580" w:lineRule="exact"/>
        <w:ind w:firstLine="640" w:firstLineChars="200"/>
        <w:rPr>
          <w:color w:val="000000" w:themeColor="text1"/>
          <w:sz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40" w:name="_Toc75019420"/>
      <w:bookmarkStart w:id="41" w:name="_Toc22649"/>
      <w:r>
        <w:rPr>
          <w:rFonts w:hint="eastAsia" w:ascii="Times New Roman" w:hAnsi="Times New Roman" w:eastAsia="方正楷体_GBK"/>
          <w:b w:val="0"/>
          <w:color w:val="000000" w:themeColor="text1"/>
          <w14:textFill>
            <w14:solidFill>
              <w14:schemeClr w14:val="tx1"/>
            </w14:solidFill>
          </w14:textFill>
        </w:rPr>
        <w:t>第五节  宿城区产业布局</w:t>
      </w:r>
      <w:bookmarkEnd w:id="40"/>
      <w:bookmarkEnd w:id="41"/>
    </w:p>
    <w:p>
      <w:pPr>
        <w:spacing w:line="580" w:lineRule="exact"/>
        <w:ind w:firstLine="643" w:firstLineChars="200"/>
        <w:rPr>
          <w:rFonts w:cs="方正仿宋_GBK"/>
          <w:b/>
          <w:bCs/>
          <w:color w:val="000000" w:themeColor="text1"/>
          <w:sz w:val="32"/>
          <w:szCs w:val="32"/>
          <w:lang w:val="zh-CN"/>
          <w14:textFill>
            <w14:solidFill>
              <w14:schemeClr w14:val="tx1"/>
            </w14:solidFill>
          </w14:textFill>
        </w:rPr>
      </w:pPr>
    </w:p>
    <w:p>
      <w:pPr>
        <w:spacing w:line="580" w:lineRule="exact"/>
        <w:ind w:firstLine="640" w:firstLineChars="200"/>
        <w:outlineLvl w:val="2"/>
        <w:rPr>
          <w:rFonts w:eastAsia="方正黑体_GBK" w:cs="方正仿宋_GBK"/>
          <w:bCs/>
          <w:color w:val="000000" w:themeColor="text1"/>
          <w:sz w:val="32"/>
          <w:szCs w:val="32"/>
          <w:lang w:val="zh-CN"/>
          <w14:textFill>
            <w14:solidFill>
              <w14:schemeClr w14:val="tx1"/>
            </w14:solidFill>
          </w14:textFill>
        </w:rPr>
      </w:pPr>
      <w:r>
        <w:rPr>
          <w:rFonts w:hint="eastAsia" w:eastAsia="方正黑体_GBK" w:cs="方正仿宋_GBK"/>
          <w:bCs/>
          <w:color w:val="000000" w:themeColor="text1"/>
          <w:sz w:val="32"/>
          <w:szCs w:val="32"/>
          <w:lang w:val="zh-CN"/>
          <w14:textFill>
            <w14:solidFill>
              <w14:schemeClr w14:val="tx1"/>
            </w14:solidFill>
          </w14:textFill>
        </w:rPr>
        <w:t>一、主导产业布局</w:t>
      </w:r>
    </w:p>
    <w:p>
      <w:pPr>
        <w:spacing w:line="580" w:lineRule="exact"/>
        <w:ind w:firstLine="640" w:firstLineChars="200"/>
        <w:rPr>
          <w:rFonts w:cs="方正仿宋_GBK"/>
          <w:bCs/>
          <w:color w:val="000000" w:themeColor="text1"/>
          <w:sz w:val="32"/>
          <w:szCs w:val="32"/>
          <w:lang w:val="zh-CN"/>
          <w14:textFill>
            <w14:solidFill>
              <w14:schemeClr w14:val="tx1"/>
            </w14:solidFill>
          </w14:textFill>
        </w:rPr>
      </w:pPr>
      <w:r>
        <w:rPr>
          <w:rFonts w:hint="eastAsia" w:cs="方正仿宋_GBK"/>
          <w:bCs/>
          <w:color w:val="000000" w:themeColor="text1"/>
          <w:sz w:val="32"/>
          <w:szCs w:val="32"/>
          <w:lang w:val="zh-CN"/>
          <w14:textFill>
            <w14:solidFill>
              <w14:schemeClr w14:val="tx1"/>
            </w14:solidFill>
          </w14:textFill>
        </w:rPr>
        <w:t>在全市6大主导产业中，宿城区主要承担机电装备（激光装备）、绿色食品（酿造（酒）、食品加工）、高端纺织（化纤、纺织服装）、绿色家居（高端家居、绿色建材）4大产业，7个细分产业。其中：</w:t>
      </w:r>
      <w:r>
        <w:rPr>
          <w:rFonts w:hint="eastAsia" w:cs="方正仿宋_GBK"/>
          <w:b/>
          <w:bCs/>
          <w:color w:val="000000" w:themeColor="text1"/>
          <w:sz w:val="32"/>
          <w:szCs w:val="32"/>
          <w:lang w:val="zh-CN"/>
          <w14:textFill>
            <w14:solidFill>
              <w14:schemeClr w14:val="tx1"/>
            </w14:solidFill>
          </w14:textFill>
        </w:rPr>
        <w:t>激光装备产业</w:t>
      </w:r>
      <w:r>
        <w:rPr>
          <w:rFonts w:hint="eastAsia" w:cs="方正仿宋_GBK"/>
          <w:bCs/>
          <w:color w:val="000000" w:themeColor="text1"/>
          <w:sz w:val="32"/>
          <w:szCs w:val="32"/>
          <w:lang w:val="zh-CN"/>
          <w14:textFill>
            <w14:solidFill>
              <w14:schemeClr w14:val="tx1"/>
            </w14:solidFill>
          </w14:textFill>
        </w:rPr>
        <w:t>，主要依托</w:t>
      </w:r>
      <w:r>
        <w:rPr>
          <w:rFonts w:hint="eastAsia"/>
          <w:color w:val="000000" w:themeColor="text1"/>
          <w:sz w:val="32"/>
          <w:szCs w:val="32"/>
          <w14:textFill>
            <w14:solidFill>
              <w14:schemeClr w14:val="tx1"/>
            </w14:solidFill>
          </w14:textFill>
        </w:rPr>
        <w:t>激光小镇，发展成套装备及元器件，推动激光装备制造向光电产业全链条延伸。</w:t>
      </w:r>
      <w:r>
        <w:rPr>
          <w:rFonts w:hint="eastAsia"/>
          <w:b/>
          <w:color w:val="000000" w:themeColor="text1"/>
          <w:sz w:val="32"/>
          <w:szCs w:val="32"/>
          <w14:textFill>
            <w14:solidFill>
              <w14:schemeClr w14:val="tx1"/>
            </w14:solidFill>
          </w14:textFill>
        </w:rPr>
        <w:t>酿造（酒）产业</w:t>
      </w:r>
      <w:r>
        <w:rPr>
          <w:rFonts w:hint="eastAsia"/>
          <w:color w:val="000000" w:themeColor="text1"/>
          <w:sz w:val="32"/>
          <w:szCs w:val="32"/>
          <w14:textFill>
            <w14:solidFill>
              <w14:schemeClr w14:val="tx1"/>
            </w14:solidFill>
          </w14:textFill>
        </w:rPr>
        <w:t>，以青岛啤酒为龙头，重点发展精酿啤酒等特色产品。</w:t>
      </w:r>
      <w:r>
        <w:rPr>
          <w:rFonts w:hint="eastAsia"/>
          <w:b/>
          <w:color w:val="000000" w:themeColor="text1"/>
          <w:sz w:val="32"/>
          <w:szCs w:val="32"/>
          <w14:textFill>
            <w14:solidFill>
              <w14:schemeClr w14:val="tx1"/>
            </w14:solidFill>
          </w14:textFill>
        </w:rPr>
        <w:t>食品加工产业</w:t>
      </w:r>
      <w:r>
        <w:rPr>
          <w:rFonts w:hint="eastAsia"/>
          <w:color w:val="000000" w:themeColor="text1"/>
          <w:sz w:val="32"/>
          <w:szCs w:val="32"/>
          <w14:textFill>
            <w14:solidFill>
              <w14:schemeClr w14:val="tx1"/>
            </w14:solidFill>
          </w14:textFill>
        </w:rPr>
        <w:t>，重点发展粮食深加工、调味品、宠物食品等特色产品。</w:t>
      </w:r>
      <w:r>
        <w:rPr>
          <w:rFonts w:hint="eastAsia" w:cs="方正仿宋_GBK"/>
          <w:b/>
          <w:bCs/>
          <w:color w:val="000000" w:themeColor="text1"/>
          <w:sz w:val="32"/>
          <w:szCs w:val="32"/>
          <w:lang w:val="zh-CN"/>
          <w14:textFill>
            <w14:solidFill>
              <w14:schemeClr w14:val="tx1"/>
            </w14:solidFill>
          </w14:textFill>
        </w:rPr>
        <w:t>化纤产业</w:t>
      </w:r>
      <w:r>
        <w:rPr>
          <w:rFonts w:hint="eastAsia" w:cs="方正仿宋_GBK"/>
          <w:bCs/>
          <w:color w:val="000000" w:themeColor="text1"/>
          <w:sz w:val="32"/>
          <w:szCs w:val="32"/>
          <w:lang w:val="zh-CN"/>
          <w14:textFill>
            <w14:solidFill>
              <w14:schemeClr w14:val="tx1"/>
            </w14:solidFill>
          </w14:textFill>
        </w:rPr>
        <w:t>，</w:t>
      </w:r>
      <w:r>
        <w:rPr>
          <w:rFonts w:hint="eastAsia" w:cs="方正仿宋_GBK"/>
          <w:color w:val="000000" w:themeColor="text1"/>
          <w:sz w:val="32"/>
          <w:szCs w:val="32"/>
          <w14:textFill>
            <w14:solidFill>
              <w14:schemeClr w14:val="tx1"/>
            </w14:solidFill>
          </w14:textFill>
        </w:rPr>
        <w:t>以</w:t>
      </w:r>
      <w:r>
        <w:rPr>
          <w:rFonts w:hint="eastAsia"/>
          <w:color w:val="000000" w:themeColor="text1"/>
          <w:sz w:val="32"/>
          <w:szCs w:val="32"/>
          <w14:textFill>
            <w14:solidFill>
              <w14:schemeClr w14:val="tx1"/>
            </w14:solidFill>
          </w14:textFill>
        </w:rPr>
        <w:t>恒力时尚产业园为核心，打造高性能纤维全产业链。</w:t>
      </w:r>
      <w:r>
        <w:rPr>
          <w:rFonts w:hint="eastAsia" w:cs="方正仿宋_GBK"/>
          <w:b/>
          <w:bCs/>
          <w:color w:val="000000" w:themeColor="text1"/>
          <w:sz w:val="32"/>
          <w:szCs w:val="32"/>
          <w:lang w:val="zh-CN"/>
          <w14:textFill>
            <w14:solidFill>
              <w14:schemeClr w14:val="tx1"/>
            </w14:solidFill>
          </w14:textFill>
        </w:rPr>
        <w:t>纺织服装产业</w:t>
      </w:r>
      <w:r>
        <w:rPr>
          <w:rFonts w:hint="eastAsia" w:cs="方正仿宋_GBK"/>
          <w:bCs/>
          <w:color w:val="000000" w:themeColor="text1"/>
          <w:sz w:val="32"/>
          <w:szCs w:val="32"/>
          <w:lang w:val="zh-CN"/>
          <w14:textFill>
            <w14:solidFill>
              <w14:schemeClr w14:val="tx1"/>
            </w14:solidFill>
          </w14:textFill>
        </w:rPr>
        <w:t>，</w:t>
      </w:r>
      <w:r>
        <w:rPr>
          <w:rFonts w:hint="eastAsia" w:cs="方正仿宋_GBK"/>
          <w:color w:val="000000" w:themeColor="text1"/>
          <w:sz w:val="32"/>
          <w:szCs w:val="32"/>
          <w14:textFill>
            <w14:solidFill>
              <w14:schemeClr w14:val="tx1"/>
            </w14:solidFill>
          </w14:textFill>
        </w:rPr>
        <w:t>发展</w:t>
      </w:r>
      <w:r>
        <w:rPr>
          <w:rFonts w:hint="eastAsia" w:cs="方正仿宋_GBK"/>
          <w:bCs/>
          <w:color w:val="000000" w:themeColor="text1"/>
          <w:sz w:val="32"/>
          <w:szCs w:val="32"/>
          <w:lang w:val="zh-CN"/>
          <w14:textFill>
            <w14:solidFill>
              <w14:schemeClr w14:val="tx1"/>
            </w14:solidFill>
          </w14:textFill>
        </w:rPr>
        <w:t>家用纺织品、医用纺织品、特色服装等产品。</w:t>
      </w:r>
      <w:r>
        <w:rPr>
          <w:rFonts w:hint="eastAsia" w:cs="方正仿宋_GBK"/>
          <w:b/>
          <w:bCs/>
          <w:color w:val="000000" w:themeColor="text1"/>
          <w:sz w:val="32"/>
          <w:szCs w:val="32"/>
          <w:lang w:val="zh-CN"/>
          <w14:textFill>
            <w14:solidFill>
              <w14:schemeClr w14:val="tx1"/>
            </w14:solidFill>
          </w14:textFill>
        </w:rPr>
        <w:t>高端家居产业</w:t>
      </w:r>
      <w:r>
        <w:rPr>
          <w:rFonts w:hint="eastAsia" w:cs="方正仿宋_GBK"/>
          <w:bCs/>
          <w:color w:val="000000" w:themeColor="text1"/>
          <w:sz w:val="32"/>
          <w:szCs w:val="32"/>
          <w:lang w:val="zh-CN"/>
          <w14:textFill>
            <w14:solidFill>
              <w14:schemeClr w14:val="tx1"/>
            </w14:solidFill>
          </w14:textFill>
        </w:rPr>
        <w:t>，依托宿城经济开发区，重点发展家具、节能门窗、装配式建筑部件、先进保温材料等特色产品。</w:t>
      </w:r>
      <w:r>
        <w:rPr>
          <w:rFonts w:hint="eastAsia" w:cs="方正仿宋_GBK"/>
          <w:b/>
          <w:bCs/>
          <w:color w:val="000000" w:themeColor="text1"/>
          <w:sz w:val="32"/>
          <w:szCs w:val="32"/>
          <w:lang w:val="zh-CN"/>
          <w14:textFill>
            <w14:solidFill>
              <w14:schemeClr w14:val="tx1"/>
            </w14:solidFill>
          </w14:textFill>
        </w:rPr>
        <w:t>绿色建材产业</w:t>
      </w:r>
      <w:r>
        <w:rPr>
          <w:rFonts w:hint="eastAsia" w:cs="方正仿宋_GBK"/>
          <w:bCs/>
          <w:color w:val="000000" w:themeColor="text1"/>
          <w:sz w:val="32"/>
          <w:szCs w:val="32"/>
          <w:lang w:val="zh-CN"/>
          <w14:textFill>
            <w14:solidFill>
              <w14:schemeClr w14:val="tx1"/>
            </w14:solidFill>
          </w14:textFill>
        </w:rPr>
        <w:t>，依托运河宿迁港产业园，重点发展绿色建筑结构材料、绿色建筑围护材料和绿色建筑功能材料。</w:t>
      </w:r>
    </w:p>
    <w:p>
      <w:pPr>
        <w:spacing w:line="580" w:lineRule="exact"/>
        <w:ind w:firstLine="640" w:firstLineChars="200"/>
        <w:outlineLvl w:val="2"/>
        <w:rPr>
          <w:rFonts w:eastAsia="方正黑体_GBK" w:cs="方正仿宋_GBK"/>
          <w:bCs/>
          <w:color w:val="000000" w:themeColor="text1"/>
          <w:sz w:val="32"/>
          <w:szCs w:val="32"/>
          <w:lang w:val="zh-CN"/>
          <w14:textFill>
            <w14:solidFill>
              <w14:schemeClr w14:val="tx1"/>
            </w14:solidFill>
          </w14:textFill>
        </w:rPr>
      </w:pPr>
      <w:r>
        <w:rPr>
          <w:rFonts w:hint="eastAsia" w:eastAsia="方正黑体_GBK" w:cs="方正仿宋_GBK"/>
          <w:bCs/>
          <w:color w:val="000000" w:themeColor="text1"/>
          <w:sz w:val="32"/>
          <w:szCs w:val="32"/>
          <w:lang w:val="zh-CN"/>
          <w14:textFill>
            <w14:solidFill>
              <w14:schemeClr w14:val="tx1"/>
            </w14:solidFill>
          </w14:textFill>
        </w:rPr>
        <w:t>二、先导产业布局</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在全市3个先导产业中，宿城区重点承担新一代信息技术（电子元器件）、生物医药2个产业的布局发展任务。其中：</w:t>
      </w:r>
      <w:r>
        <w:rPr>
          <w:rFonts w:hint="eastAsia"/>
          <w:b/>
          <w:color w:val="000000" w:themeColor="text1"/>
          <w:sz w:val="32"/>
          <w:szCs w:val="32"/>
          <w14:textFill>
            <w14:solidFill>
              <w14:schemeClr w14:val="tx1"/>
            </w14:solidFill>
          </w14:textFill>
        </w:rPr>
        <w:t>电子元器件产业</w:t>
      </w:r>
      <w:r>
        <w:rPr>
          <w:rFonts w:hint="eastAsia"/>
          <w:color w:val="000000" w:themeColor="text1"/>
          <w:sz w:val="32"/>
          <w:szCs w:val="32"/>
          <w14:textFill>
            <w14:solidFill>
              <w14:schemeClr w14:val="tx1"/>
            </w14:solidFill>
          </w14:textFill>
        </w:rPr>
        <w:t>，重点发展半导体器件等特色产品。</w:t>
      </w:r>
      <w:r>
        <w:rPr>
          <w:rFonts w:hint="eastAsia"/>
          <w:b/>
          <w:color w:val="000000" w:themeColor="text1"/>
          <w:sz w:val="32"/>
          <w:szCs w:val="32"/>
          <w14:textFill>
            <w14:solidFill>
              <w14:schemeClr w14:val="tx1"/>
            </w14:solidFill>
          </w14:textFill>
        </w:rPr>
        <w:t>生物医药产业</w:t>
      </w:r>
      <w:r>
        <w:rPr>
          <w:rFonts w:hint="eastAsia"/>
          <w:color w:val="000000" w:themeColor="text1"/>
          <w:sz w:val="32"/>
          <w:szCs w:val="32"/>
          <w14:textFill>
            <w14:solidFill>
              <w14:schemeClr w14:val="tx1"/>
            </w14:solidFill>
          </w14:textFill>
        </w:rPr>
        <w:t>，重点发展新型医疗器械、医用防护产品，培育大健康产业。</w:t>
      </w:r>
    </w:p>
    <w:p>
      <w:pPr>
        <w:spacing w:line="580" w:lineRule="exact"/>
        <w:ind w:firstLine="640" w:firstLineChars="200"/>
        <w:rPr>
          <w:rFonts w:cs="方正仿宋_GBK"/>
          <w:color w:val="000000" w:themeColor="text1"/>
          <w:sz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42" w:name="_Toc75019421"/>
      <w:bookmarkStart w:id="43" w:name="_Toc8581"/>
      <w:r>
        <w:rPr>
          <w:rFonts w:hint="eastAsia" w:ascii="Times New Roman" w:hAnsi="Times New Roman" w:eastAsia="方正楷体_GBK"/>
          <w:b w:val="0"/>
          <w:color w:val="000000" w:themeColor="text1"/>
          <w14:textFill>
            <w14:solidFill>
              <w14:schemeClr w14:val="tx1"/>
            </w14:solidFill>
          </w14:textFill>
        </w:rPr>
        <w:t>第六节  宿迁经开区产业布局</w:t>
      </w:r>
      <w:bookmarkEnd w:id="42"/>
      <w:bookmarkEnd w:id="43"/>
    </w:p>
    <w:p>
      <w:pPr>
        <w:spacing w:line="580" w:lineRule="exact"/>
        <w:ind w:firstLine="640" w:firstLineChars="200"/>
        <w:outlineLvl w:val="2"/>
        <w:rPr>
          <w:rFonts w:eastAsia="方正黑体_GBK" w:cs="方正仿宋_GBK"/>
          <w:bCs/>
          <w:color w:val="000000" w:themeColor="text1"/>
          <w:sz w:val="32"/>
          <w:szCs w:val="32"/>
          <w:lang w:val="zh-CN"/>
          <w14:textFill>
            <w14:solidFill>
              <w14:schemeClr w14:val="tx1"/>
            </w14:solidFill>
          </w14:textFill>
        </w:rPr>
      </w:pPr>
    </w:p>
    <w:p>
      <w:pPr>
        <w:spacing w:line="580" w:lineRule="exact"/>
        <w:ind w:firstLine="640" w:firstLineChars="200"/>
        <w:outlineLvl w:val="2"/>
        <w:rPr>
          <w:b/>
          <w:color w:val="000000" w:themeColor="text1"/>
          <w:sz w:val="32"/>
          <w:szCs w:val="32"/>
          <w14:textFill>
            <w14:solidFill>
              <w14:schemeClr w14:val="tx1"/>
            </w14:solidFill>
          </w14:textFill>
        </w:rPr>
      </w:pPr>
      <w:r>
        <w:rPr>
          <w:rFonts w:hint="eastAsia" w:eastAsia="方正黑体_GBK" w:cs="方正仿宋_GBK"/>
          <w:bCs/>
          <w:color w:val="000000" w:themeColor="text1"/>
          <w:sz w:val="32"/>
          <w:szCs w:val="32"/>
          <w:lang w:val="zh-CN"/>
          <w14:textFill>
            <w14:solidFill>
              <w14:schemeClr w14:val="tx1"/>
            </w14:solidFill>
          </w14:textFill>
        </w:rPr>
        <w:t>一、主导产业布局</w:t>
      </w:r>
    </w:p>
    <w:p>
      <w:pPr>
        <w:spacing w:line="580" w:lineRule="exact"/>
        <w:ind w:firstLine="640" w:firstLineChars="200"/>
        <w:rPr>
          <w:color w:val="000000" w:themeColor="text1"/>
          <w:sz w:val="32"/>
          <w:szCs w:val="32"/>
          <w14:textFill>
            <w14:solidFill>
              <w14:schemeClr w14:val="tx1"/>
            </w14:solidFill>
          </w14:textFill>
        </w:rPr>
      </w:pPr>
      <w:r>
        <w:rPr>
          <w:rFonts w:hint="eastAsia" w:cs="方正仿宋_GBK"/>
          <w:bCs/>
          <w:color w:val="000000" w:themeColor="text1"/>
          <w:sz w:val="32"/>
          <w:szCs w:val="32"/>
          <w:lang w:val="zh-CN"/>
          <w14:textFill>
            <w14:solidFill>
              <w14:schemeClr w14:val="tx1"/>
            </w14:solidFill>
          </w14:textFill>
        </w:rPr>
        <w:t>在全市6大主导产业中，宿迁经开区重点承担机电装备（智能家电）、绿色食品（食品加工）、光伏新能源3个产业</w:t>
      </w:r>
      <w:r>
        <w:rPr>
          <w:rFonts w:hint="eastAsia"/>
          <w:color w:val="000000" w:themeColor="text1"/>
          <w:sz w:val="32"/>
          <w:szCs w:val="32"/>
          <w14:textFill>
            <w14:solidFill>
              <w14:schemeClr w14:val="tx1"/>
            </w14:solidFill>
          </w14:textFill>
        </w:rPr>
        <w:t>的布局发展任务。其中：</w:t>
      </w:r>
      <w:r>
        <w:rPr>
          <w:rFonts w:hint="eastAsia"/>
          <w:b/>
          <w:color w:val="000000" w:themeColor="text1"/>
          <w:sz w:val="32"/>
          <w:szCs w:val="32"/>
          <w14:textFill>
            <w14:solidFill>
              <w14:schemeClr w14:val="tx1"/>
            </w14:solidFill>
          </w14:textFill>
        </w:rPr>
        <w:t>智能家电产业，</w:t>
      </w:r>
      <w:r>
        <w:rPr>
          <w:rFonts w:hint="eastAsia"/>
          <w:color w:val="000000" w:themeColor="text1"/>
          <w:sz w:val="32"/>
          <w:szCs w:val="32"/>
          <w14:textFill>
            <w14:solidFill>
              <w14:schemeClr w14:val="tx1"/>
            </w14:solidFill>
          </w14:textFill>
        </w:rPr>
        <w:t>重点发展生活小家电、冰箱、空调、冷柜、电视、洗衣机等特色产品，打造全国白色家电产业第五极。</w:t>
      </w:r>
      <w:r>
        <w:rPr>
          <w:rFonts w:hint="eastAsia" w:cs="方正仿宋_GBK"/>
          <w:b/>
          <w:bCs/>
          <w:color w:val="000000" w:themeColor="text1"/>
          <w:sz w:val="32"/>
          <w:szCs w:val="32"/>
          <w14:textFill>
            <w14:solidFill>
              <w14:schemeClr w14:val="tx1"/>
            </w14:solidFill>
          </w14:textFill>
        </w:rPr>
        <w:t>食品加工产业，</w:t>
      </w:r>
      <w:r>
        <w:rPr>
          <w:rFonts w:hint="eastAsia" w:cs="方正仿宋_GBK"/>
          <w:bCs/>
          <w:color w:val="000000" w:themeColor="text1"/>
          <w:sz w:val="32"/>
          <w:szCs w:val="32"/>
          <w14:textFill>
            <w14:solidFill>
              <w14:schemeClr w14:val="tx1"/>
            </w14:solidFill>
          </w14:textFill>
        </w:rPr>
        <w:t>重点发展饮料乳品、</w:t>
      </w:r>
      <w:r>
        <w:rPr>
          <w:rFonts w:hint="eastAsia"/>
          <w:color w:val="000000" w:themeColor="text1"/>
          <w:sz w:val="32"/>
          <w:szCs w:val="32"/>
          <w14:textFill>
            <w14:solidFill>
              <w14:schemeClr w14:val="tx1"/>
            </w14:solidFill>
          </w14:textFill>
        </w:rPr>
        <w:t>休闲食品、调味品、绿色食品添加剂等特色产品，打造华东地区及淮海经济区最具特色的食品产业集聚区。</w:t>
      </w:r>
      <w:r>
        <w:rPr>
          <w:rFonts w:hint="eastAsia" w:cs="方正仿宋_GBK"/>
          <w:b/>
          <w:bCs/>
          <w:color w:val="000000" w:themeColor="text1"/>
          <w:sz w:val="32"/>
          <w:szCs w:val="32"/>
          <w:lang w:val="zh-CN"/>
          <w14:textFill>
            <w14:solidFill>
              <w14:schemeClr w14:val="tx1"/>
            </w14:solidFill>
          </w14:textFill>
        </w:rPr>
        <w:t>光伏新能源</w:t>
      </w:r>
      <w:r>
        <w:rPr>
          <w:rFonts w:hint="eastAsia"/>
          <w:b/>
          <w:color w:val="000000" w:themeColor="text1"/>
          <w:sz w:val="32"/>
          <w:szCs w:val="32"/>
          <w14:textFill>
            <w14:solidFill>
              <w14:schemeClr w14:val="tx1"/>
            </w14:solidFill>
          </w14:textFill>
        </w:rPr>
        <w:t>产业</w:t>
      </w:r>
      <w:r>
        <w:rPr>
          <w:rFonts w:hint="eastAsia"/>
          <w:color w:val="000000" w:themeColor="text1"/>
          <w:sz w:val="32"/>
          <w:szCs w:val="32"/>
          <w14:textFill>
            <w14:solidFill>
              <w14:schemeClr w14:val="tx1"/>
            </w14:solidFill>
          </w14:textFill>
        </w:rPr>
        <w:t>，</w:t>
      </w:r>
      <w:r>
        <w:rPr>
          <w:rFonts w:hint="eastAsia" w:cs="方正仿宋_GBK"/>
          <w:bCs/>
          <w:color w:val="000000" w:themeColor="text1"/>
          <w:sz w:val="32"/>
          <w:szCs w:val="32"/>
          <w14:textFill>
            <w14:solidFill>
              <w14:schemeClr w14:val="tx1"/>
            </w14:solidFill>
          </w14:textFill>
        </w:rPr>
        <w:t>重点发展</w:t>
      </w:r>
      <w:r>
        <w:rPr>
          <w:rFonts w:hint="eastAsia"/>
          <w:color w:val="000000" w:themeColor="text1"/>
          <w:sz w:val="32"/>
          <w:szCs w:val="32"/>
          <w14:textFill>
            <w14:solidFill>
              <w14:schemeClr w14:val="tx1"/>
            </w14:solidFill>
          </w14:textFill>
        </w:rPr>
        <w:t>光伏切片、光伏电池、光伏组件，打造全国规模领先的晶硅光伏全产业链。</w:t>
      </w:r>
    </w:p>
    <w:p>
      <w:pPr>
        <w:spacing w:line="580" w:lineRule="exact"/>
        <w:ind w:firstLine="640" w:firstLineChars="200"/>
        <w:outlineLvl w:val="2"/>
        <w:rPr>
          <w:color w:val="000000" w:themeColor="text1"/>
          <w:sz w:val="32"/>
          <w:szCs w:val="32"/>
          <w14:textFill>
            <w14:solidFill>
              <w14:schemeClr w14:val="tx1"/>
            </w14:solidFill>
          </w14:textFill>
        </w:rPr>
      </w:pPr>
      <w:r>
        <w:rPr>
          <w:rFonts w:hint="eastAsia" w:eastAsia="方正黑体_GBK" w:cs="方正仿宋_GBK"/>
          <w:bCs/>
          <w:color w:val="000000" w:themeColor="text1"/>
          <w:sz w:val="32"/>
          <w:szCs w:val="32"/>
          <w:lang w:val="zh-CN"/>
          <w14:textFill>
            <w14:solidFill>
              <w14:schemeClr w14:val="tx1"/>
            </w14:solidFill>
          </w14:textFill>
        </w:rPr>
        <w:t>二、先导产业布局</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在全市3个先导产业中，</w:t>
      </w:r>
      <w:r>
        <w:rPr>
          <w:rFonts w:hint="eastAsia" w:cs="方正仿宋_GBK"/>
          <w:bCs/>
          <w:color w:val="000000" w:themeColor="text1"/>
          <w:sz w:val="32"/>
          <w:szCs w:val="32"/>
          <w:lang w:val="zh-CN"/>
          <w14:textFill>
            <w14:solidFill>
              <w14:schemeClr w14:val="tx1"/>
            </w14:solidFill>
          </w14:textFill>
        </w:rPr>
        <w:t>宿迁经开区</w:t>
      </w:r>
      <w:r>
        <w:rPr>
          <w:rFonts w:hint="eastAsia"/>
          <w:color w:val="000000" w:themeColor="text1"/>
          <w:sz w:val="32"/>
          <w:szCs w:val="32"/>
          <w14:textFill>
            <w14:solidFill>
              <w14:schemeClr w14:val="tx1"/>
            </w14:solidFill>
          </w14:textFill>
        </w:rPr>
        <w:t>重点承担新一代信息技术（电子元器件）产业的布局发展任务，</w:t>
      </w:r>
      <w:r>
        <w:rPr>
          <w:rFonts w:hint="eastAsia"/>
          <w:color w:val="000000" w:themeColor="text1"/>
          <w:sz w:val="32"/>
          <w14:textFill>
            <w14:solidFill>
              <w14:schemeClr w14:val="tx1"/>
            </w14:solidFill>
          </w14:textFill>
        </w:rPr>
        <w:t>围绕新光源、新型显示等产业，努力打造集研发、制造和技术服务于一体的苏北领先的新型电子信息特色产业基地。</w:t>
      </w:r>
    </w:p>
    <w:p>
      <w:pPr>
        <w:spacing w:line="580" w:lineRule="exact"/>
        <w:rPr>
          <w:color w:val="000000" w:themeColor="text1"/>
          <w:sz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44" w:name="_Toc75019422"/>
      <w:bookmarkStart w:id="45" w:name="_Toc6968"/>
      <w:r>
        <w:rPr>
          <w:rFonts w:hint="eastAsia" w:ascii="Times New Roman" w:hAnsi="Times New Roman" w:eastAsia="方正楷体_GBK"/>
          <w:b w:val="0"/>
          <w:color w:val="000000" w:themeColor="text1"/>
          <w14:textFill>
            <w14:solidFill>
              <w14:schemeClr w14:val="tx1"/>
            </w14:solidFill>
          </w14:textFill>
        </w:rPr>
        <w:t>第七节  市湖滨新区产业布局</w:t>
      </w:r>
      <w:bookmarkEnd w:id="44"/>
      <w:bookmarkEnd w:id="45"/>
    </w:p>
    <w:p>
      <w:pPr>
        <w:spacing w:line="580" w:lineRule="exact"/>
        <w:ind w:firstLine="640" w:firstLineChars="200"/>
        <w:outlineLvl w:val="2"/>
        <w:rPr>
          <w:rFonts w:eastAsia="方正黑体_GBK" w:cs="方正仿宋_GBK"/>
          <w:bCs/>
          <w:color w:val="000000" w:themeColor="text1"/>
          <w:sz w:val="32"/>
          <w:szCs w:val="32"/>
          <w:lang w:val="zh-CN"/>
          <w14:textFill>
            <w14:solidFill>
              <w14:schemeClr w14:val="tx1"/>
            </w14:solidFill>
          </w14:textFill>
        </w:rPr>
      </w:pPr>
    </w:p>
    <w:p>
      <w:pPr>
        <w:spacing w:line="580" w:lineRule="exact"/>
        <w:ind w:firstLine="640" w:firstLineChars="200"/>
        <w:outlineLvl w:val="2"/>
        <w:rPr>
          <w:rFonts w:cs="方正仿宋_GBK"/>
          <w:bCs/>
          <w:color w:val="000000" w:themeColor="text1"/>
          <w:sz w:val="32"/>
          <w:szCs w:val="32"/>
          <w:lang w:val="zh-CN"/>
          <w14:textFill>
            <w14:solidFill>
              <w14:schemeClr w14:val="tx1"/>
            </w14:solidFill>
          </w14:textFill>
        </w:rPr>
      </w:pPr>
      <w:r>
        <w:rPr>
          <w:rFonts w:hint="eastAsia" w:eastAsia="方正黑体_GBK" w:cs="方正仿宋_GBK"/>
          <w:bCs/>
          <w:color w:val="000000" w:themeColor="text1"/>
          <w:sz w:val="32"/>
          <w:szCs w:val="32"/>
          <w:lang w:val="zh-CN"/>
          <w14:textFill>
            <w14:solidFill>
              <w14:schemeClr w14:val="tx1"/>
            </w14:solidFill>
          </w14:textFill>
        </w:rPr>
        <w:t>一、主导产业布局</w:t>
      </w:r>
    </w:p>
    <w:p>
      <w:pPr>
        <w:spacing w:line="580" w:lineRule="exact"/>
        <w:ind w:firstLine="640" w:firstLineChars="200"/>
        <w:rPr>
          <w:b/>
          <w:bCs/>
          <w:color w:val="000000" w:themeColor="text1"/>
          <w:sz w:val="32"/>
          <w:szCs w:val="32"/>
          <w14:textFill>
            <w14:solidFill>
              <w14:schemeClr w14:val="tx1"/>
            </w14:solidFill>
          </w14:textFill>
        </w:rPr>
      </w:pPr>
      <w:r>
        <w:rPr>
          <w:rFonts w:hint="eastAsia" w:cs="方正仿宋_GBK"/>
          <w:bCs/>
          <w:color w:val="000000" w:themeColor="text1"/>
          <w:sz w:val="32"/>
          <w:szCs w:val="32"/>
          <w:lang w:val="zh-CN"/>
          <w14:textFill>
            <w14:solidFill>
              <w14:schemeClr w14:val="tx1"/>
            </w14:solidFill>
          </w14:textFill>
        </w:rPr>
        <w:t>在全市6大主导产业中，市湖滨新区重点承担新材料（</w:t>
      </w:r>
      <w:r>
        <w:rPr>
          <w:rFonts w:hint="eastAsia"/>
          <w:color w:val="000000" w:themeColor="text1"/>
          <w:sz w:val="32"/>
          <w:szCs w:val="32"/>
          <w14:textFill>
            <w14:solidFill>
              <w14:schemeClr w14:val="tx1"/>
            </w14:solidFill>
          </w14:textFill>
        </w:rPr>
        <w:t>膜材料</w:t>
      </w:r>
      <w:r>
        <w:rPr>
          <w:rFonts w:hint="eastAsia" w:cs="方正仿宋_GBK"/>
          <w:bCs/>
          <w:color w:val="000000" w:themeColor="text1"/>
          <w:sz w:val="32"/>
          <w:szCs w:val="32"/>
          <w:lang w:val="zh-CN"/>
          <w14:textFill>
            <w14:solidFill>
              <w14:schemeClr w14:val="tx1"/>
            </w14:solidFill>
          </w14:textFill>
        </w:rPr>
        <w:t>）产业</w:t>
      </w:r>
      <w:r>
        <w:rPr>
          <w:rFonts w:hint="eastAsia"/>
          <w:color w:val="000000" w:themeColor="text1"/>
          <w:sz w:val="32"/>
          <w:szCs w:val="32"/>
          <w14:textFill>
            <w14:solidFill>
              <w14:schemeClr w14:val="tx1"/>
            </w14:solidFill>
          </w14:textFill>
        </w:rPr>
        <w:t>的布局发展任务，大力发展新型包装材料、光学膜，以及其他功能膜复合材料等特色产品。</w:t>
      </w:r>
    </w:p>
    <w:p>
      <w:pPr>
        <w:spacing w:line="580" w:lineRule="exact"/>
        <w:ind w:firstLine="640" w:firstLineChars="200"/>
        <w:outlineLvl w:val="2"/>
        <w:rPr>
          <w:color w:val="000000" w:themeColor="text1"/>
          <w:sz w:val="32"/>
          <w:szCs w:val="32"/>
          <w14:textFill>
            <w14:solidFill>
              <w14:schemeClr w14:val="tx1"/>
            </w14:solidFill>
          </w14:textFill>
        </w:rPr>
      </w:pPr>
      <w:r>
        <w:rPr>
          <w:rFonts w:hint="eastAsia" w:eastAsia="方正黑体_GBK" w:cs="方正仿宋_GBK"/>
          <w:bCs/>
          <w:color w:val="000000" w:themeColor="text1"/>
          <w:sz w:val="32"/>
          <w:szCs w:val="32"/>
          <w:lang w:val="zh-CN"/>
          <w14:textFill>
            <w14:solidFill>
              <w14:schemeClr w14:val="tx1"/>
            </w14:solidFill>
          </w14:textFill>
        </w:rPr>
        <w:t>二、先导产业布局</w:t>
      </w:r>
    </w:p>
    <w:p>
      <w:pPr>
        <w:spacing w:line="580" w:lineRule="exact"/>
        <w:ind w:firstLine="640" w:firstLineChars="200"/>
        <w:outlineLvl w:val="2"/>
        <w:rPr>
          <w:color w:val="000000" w:themeColor="text1"/>
          <w:sz w:val="32"/>
          <w:szCs w:val="32"/>
          <w:lang w:val="zh-CN"/>
          <w14:textFill>
            <w14:solidFill>
              <w14:schemeClr w14:val="tx1"/>
            </w14:solidFill>
          </w14:textFill>
        </w:rPr>
      </w:pPr>
      <w:r>
        <w:rPr>
          <w:color w:val="000000" w:themeColor="text1"/>
          <w:sz w:val="32"/>
          <w:szCs w:val="32"/>
          <w14:textFill>
            <w14:solidFill>
              <w14:schemeClr w14:val="tx1"/>
            </w14:solidFill>
          </w14:textFill>
        </w:rPr>
        <w:t>在全市3个先导产业中，市湖滨新</w:t>
      </w:r>
      <w:r>
        <w:rPr>
          <w:color w:val="000000" w:themeColor="text1"/>
          <w:sz w:val="32"/>
          <w:szCs w:val="32"/>
          <w:lang w:val="zh-CN"/>
          <w14:textFill>
            <w14:solidFill>
              <w14:schemeClr w14:val="tx1"/>
            </w14:solidFill>
          </w14:textFill>
        </w:rPr>
        <w:t>区</w:t>
      </w:r>
      <w:r>
        <w:rPr>
          <w:rFonts w:hint="eastAsia"/>
          <w:color w:val="000000" w:themeColor="text1"/>
          <w:sz w:val="32"/>
          <w:szCs w:val="32"/>
          <w:lang w:val="zh-CN"/>
          <w14:textFill>
            <w14:solidFill>
              <w14:schemeClr w14:val="tx1"/>
            </w14:solidFill>
          </w14:textFill>
        </w:rPr>
        <w:t>重点承担</w:t>
      </w:r>
      <w:r>
        <w:rPr>
          <w:color w:val="000000" w:themeColor="text1"/>
          <w:sz w:val="32"/>
          <w:szCs w:val="32"/>
          <w:lang w:val="zh-CN"/>
          <w14:textFill>
            <w14:solidFill>
              <w14:schemeClr w14:val="tx1"/>
            </w14:solidFill>
          </w14:textFill>
        </w:rPr>
        <w:t>数字经济</w:t>
      </w:r>
      <w:r>
        <w:rPr>
          <w:rFonts w:hint="eastAsia"/>
          <w:color w:val="000000" w:themeColor="text1"/>
          <w:sz w:val="32"/>
          <w:szCs w:val="32"/>
          <w14:textFill>
            <w14:solidFill>
              <w14:schemeClr w14:val="tx1"/>
            </w14:solidFill>
          </w14:textFill>
        </w:rPr>
        <w:t>产业的布局发展任务</w:t>
      </w:r>
      <w:r>
        <w:rPr>
          <w:color w:val="000000" w:themeColor="text1"/>
          <w:sz w:val="32"/>
          <w:szCs w:val="32"/>
          <w:lang w:val="zh-CN"/>
          <w14:textFill>
            <w14:solidFill>
              <w14:schemeClr w14:val="tx1"/>
            </w14:solidFill>
          </w14:textFill>
        </w:rPr>
        <w:t>，以大数据和人工智能产业为核心，以京东云华东数据中心为龙头，依托软件园平台，培育构建集数据采集、数据清洗、数据标注、数据分析、数据交易、数据应用为一体的基础数据服务产业体系，全力打造宿迁市人工智能基础数据服务产业“中央厨房”。</w:t>
      </w:r>
    </w:p>
    <w:p>
      <w:pPr>
        <w:spacing w:line="580" w:lineRule="exact"/>
        <w:ind w:firstLine="640" w:firstLineChars="200"/>
        <w:rPr>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46" w:name="_Toc21383"/>
      <w:bookmarkStart w:id="47" w:name="_Toc75019423"/>
      <w:r>
        <w:rPr>
          <w:rFonts w:hint="eastAsia" w:ascii="Times New Roman" w:hAnsi="Times New Roman" w:eastAsia="方正楷体_GBK"/>
          <w:b w:val="0"/>
          <w:color w:val="000000" w:themeColor="text1"/>
          <w14:textFill>
            <w14:solidFill>
              <w14:schemeClr w14:val="tx1"/>
            </w14:solidFill>
          </w14:textFill>
        </w:rPr>
        <w:t>第八节  市洋河新区产业布局</w:t>
      </w:r>
      <w:bookmarkEnd w:id="46"/>
      <w:bookmarkEnd w:id="47"/>
    </w:p>
    <w:p>
      <w:pPr>
        <w:spacing w:line="580" w:lineRule="exact"/>
        <w:ind w:firstLine="643" w:firstLineChars="200"/>
        <w:rPr>
          <w:rFonts w:eastAsia="仿宋_GB2312"/>
          <w:b/>
          <w:bCs/>
          <w:color w:val="000000" w:themeColor="text1"/>
          <w:sz w:val="32"/>
          <w:szCs w:val="32"/>
          <w:lang w:val="zh-CN"/>
          <w14:textFill>
            <w14:solidFill>
              <w14:schemeClr w14:val="tx1"/>
            </w14:solidFill>
          </w14:textFill>
        </w:rPr>
      </w:pPr>
    </w:p>
    <w:p>
      <w:pPr>
        <w:spacing w:line="580" w:lineRule="exact"/>
        <w:ind w:firstLine="640" w:firstLineChars="200"/>
        <w:outlineLvl w:val="2"/>
        <w:rPr>
          <w:rFonts w:eastAsia="方正黑体_GBK" w:cs="方正仿宋_GBK"/>
          <w:bCs/>
          <w:color w:val="000000" w:themeColor="text1"/>
          <w:sz w:val="32"/>
          <w:szCs w:val="32"/>
          <w:lang w:val="zh-CN"/>
          <w14:textFill>
            <w14:solidFill>
              <w14:schemeClr w14:val="tx1"/>
            </w14:solidFill>
          </w14:textFill>
        </w:rPr>
      </w:pPr>
      <w:r>
        <w:rPr>
          <w:rFonts w:hint="eastAsia" w:eastAsia="方正黑体_GBK" w:cs="方正仿宋_GBK"/>
          <w:bCs/>
          <w:color w:val="000000" w:themeColor="text1"/>
          <w:sz w:val="32"/>
          <w:szCs w:val="32"/>
          <w:lang w:val="zh-CN"/>
          <w14:textFill>
            <w14:solidFill>
              <w14:schemeClr w14:val="tx1"/>
            </w14:solidFill>
          </w14:textFill>
        </w:rPr>
        <w:t>一、主导产业布局</w:t>
      </w:r>
    </w:p>
    <w:p>
      <w:pPr>
        <w:spacing w:line="580" w:lineRule="exact"/>
        <w:ind w:firstLine="640" w:firstLineChars="200"/>
        <w:rPr>
          <w:rFonts w:cs="方正仿宋_GBK"/>
          <w:bCs/>
          <w:color w:val="000000" w:themeColor="text1"/>
          <w:sz w:val="32"/>
          <w:szCs w:val="32"/>
          <w:lang w:val="zh-CN"/>
          <w14:textFill>
            <w14:solidFill>
              <w14:schemeClr w14:val="tx1"/>
            </w14:solidFill>
          </w14:textFill>
        </w:rPr>
      </w:pPr>
      <w:r>
        <w:rPr>
          <w:rFonts w:hint="eastAsia" w:cs="方正仿宋_GBK"/>
          <w:bCs/>
          <w:color w:val="000000" w:themeColor="text1"/>
          <w:sz w:val="32"/>
          <w:szCs w:val="32"/>
          <w:lang w:val="zh-CN"/>
          <w14:textFill>
            <w14:solidFill>
              <w14:schemeClr w14:val="tx1"/>
            </w14:solidFill>
          </w14:textFill>
        </w:rPr>
        <w:t>在全市6大主导产业中，市洋河新区重点承担</w:t>
      </w:r>
      <w:r>
        <w:rPr>
          <w:rFonts w:hint="eastAsia" w:cs="方正仿宋_GBK"/>
          <w:bCs/>
          <w:color w:val="000000" w:themeColor="text1"/>
          <w:sz w:val="32"/>
          <w:szCs w:val="32"/>
          <w14:textFill>
            <w14:solidFill>
              <w14:schemeClr w14:val="tx1"/>
            </w14:solidFill>
          </w14:textFill>
        </w:rPr>
        <w:t>绿色食品（</w:t>
      </w:r>
      <w:r>
        <w:rPr>
          <w:rFonts w:hint="eastAsia" w:cs="方正仿宋_GBK"/>
          <w:bCs/>
          <w:color w:val="000000" w:themeColor="text1"/>
          <w:sz w:val="32"/>
          <w:szCs w:val="32"/>
          <w:lang w:val="zh-CN"/>
          <w14:textFill>
            <w14:solidFill>
              <w14:schemeClr w14:val="tx1"/>
            </w14:solidFill>
          </w14:textFill>
        </w:rPr>
        <w:t>酿造（酒））产业的布局发展任务，</w:t>
      </w:r>
      <w:r>
        <w:rPr>
          <w:rFonts w:hint="eastAsia" w:cs="方正仿宋_GBK"/>
          <w:color w:val="000000" w:themeColor="text1"/>
          <w:sz w:val="32"/>
          <w:szCs w:val="32"/>
          <w14:textFill>
            <w14:solidFill>
              <w14:schemeClr w14:val="tx1"/>
            </w14:solidFill>
          </w14:textFill>
        </w:rPr>
        <w:t>以洋河股份为引领，打造涵盖原粮生产、制曲、酿造、包装、印刷、服务设计等在内一二三产融合发展的全链条产业体系，推动酒产区品牌化、酒产能规模化、酒链条精深化、酒体验生活化。</w:t>
      </w:r>
    </w:p>
    <w:p>
      <w:pPr>
        <w:spacing w:line="580" w:lineRule="exact"/>
        <w:ind w:firstLine="640" w:firstLineChars="200"/>
        <w:outlineLvl w:val="2"/>
        <w:rPr>
          <w:rFonts w:eastAsia="方正黑体_GBK" w:cs="方正仿宋_GBK"/>
          <w:bCs/>
          <w:color w:val="000000" w:themeColor="text1"/>
          <w:sz w:val="32"/>
          <w:szCs w:val="32"/>
          <w:lang w:val="zh-CN"/>
          <w14:textFill>
            <w14:solidFill>
              <w14:schemeClr w14:val="tx1"/>
            </w14:solidFill>
          </w14:textFill>
        </w:rPr>
      </w:pPr>
      <w:r>
        <w:rPr>
          <w:rFonts w:hint="eastAsia" w:eastAsia="方正黑体_GBK" w:cs="方正仿宋_GBK"/>
          <w:bCs/>
          <w:color w:val="000000" w:themeColor="text1"/>
          <w:sz w:val="32"/>
          <w:szCs w:val="32"/>
          <w:lang w:val="zh-CN"/>
          <w14:textFill>
            <w14:solidFill>
              <w14:schemeClr w14:val="tx1"/>
            </w14:solidFill>
          </w14:textFill>
        </w:rPr>
        <w:t>二、先导产业布局</w:t>
      </w:r>
    </w:p>
    <w:p>
      <w:pPr>
        <w:spacing w:line="580" w:lineRule="exact"/>
        <w:ind w:firstLine="640" w:firstLineChars="200"/>
        <w:rPr>
          <w:rFonts w:cs="方正仿宋_GBK"/>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在全市3个先导产业中，市洋河新区重点承担</w:t>
      </w:r>
      <w:r>
        <w:rPr>
          <w:rFonts w:hint="eastAsia" w:eastAsia="仿宋_GB2312"/>
          <w:bCs/>
          <w:color w:val="000000" w:themeColor="text1"/>
          <w:sz w:val="32"/>
          <w:szCs w:val="32"/>
          <w:lang w:val="zh-CN"/>
          <w14:textFill>
            <w14:solidFill>
              <w14:schemeClr w14:val="tx1"/>
            </w14:solidFill>
          </w14:textFill>
        </w:rPr>
        <w:t>生物医药产业的布局发展任务，依托</w:t>
      </w:r>
      <w:r>
        <w:rPr>
          <w:rFonts w:hint="eastAsia" w:cs="方正仿宋_GBK"/>
          <w:color w:val="000000" w:themeColor="text1"/>
          <w:sz w:val="32"/>
          <w:szCs w:val="32"/>
          <w14:textFill>
            <w14:solidFill>
              <w14:schemeClr w14:val="tx1"/>
            </w14:solidFill>
          </w14:textFill>
        </w:rPr>
        <w:t>生物科技产业园区，</w:t>
      </w:r>
      <w:r>
        <w:rPr>
          <w:rFonts w:hint="eastAsia" w:eastAsia="仿宋_GB2312"/>
          <w:bCs/>
          <w:color w:val="000000" w:themeColor="text1"/>
          <w:sz w:val="32"/>
          <w:szCs w:val="32"/>
          <w:lang w:val="zh-CN"/>
          <w14:textFill>
            <w14:solidFill>
              <w14:schemeClr w14:val="tx1"/>
            </w14:solidFill>
          </w14:textFill>
        </w:rPr>
        <w:t>重点</w:t>
      </w:r>
      <w:r>
        <w:rPr>
          <w:rFonts w:hint="eastAsia" w:cs="方正仿宋_GBK"/>
          <w:color w:val="000000" w:themeColor="text1"/>
          <w:sz w:val="32"/>
          <w:szCs w:val="32"/>
          <w14:textFill>
            <w14:solidFill>
              <w14:schemeClr w14:val="tx1"/>
            </w14:solidFill>
          </w14:textFill>
        </w:rPr>
        <w:t>发展生物经济特色产品，逐步形成国内有影响力的大健康产业园区。</w:t>
      </w:r>
    </w:p>
    <w:p>
      <w:pPr>
        <w:spacing w:line="580" w:lineRule="exact"/>
        <w:ind w:firstLine="640" w:firstLineChars="200"/>
        <w:rPr>
          <w:rFonts w:cs="方正仿宋_GBK"/>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48" w:name="_Toc3732"/>
      <w:bookmarkStart w:id="49" w:name="_Toc75019424"/>
      <w:r>
        <w:rPr>
          <w:rFonts w:hint="eastAsia" w:ascii="Times New Roman" w:hAnsi="Times New Roman" w:eastAsia="方正楷体_GBK"/>
          <w:b w:val="0"/>
          <w:color w:val="000000" w:themeColor="text1"/>
          <w14:textFill>
            <w14:solidFill>
              <w14:schemeClr w14:val="tx1"/>
            </w14:solidFill>
          </w14:textFill>
        </w:rPr>
        <w:t>第九节  苏宿工业园区产业布局</w:t>
      </w:r>
      <w:bookmarkEnd w:id="48"/>
      <w:bookmarkEnd w:id="49"/>
    </w:p>
    <w:p>
      <w:pPr>
        <w:spacing w:line="580" w:lineRule="exact"/>
        <w:ind w:firstLine="643" w:firstLineChars="200"/>
        <w:rPr>
          <w:b/>
          <w:color w:val="000000" w:themeColor="text1"/>
          <w:sz w:val="32"/>
          <w:szCs w:val="32"/>
          <w14:textFill>
            <w14:solidFill>
              <w14:schemeClr w14:val="tx1"/>
            </w14:solidFill>
          </w14:textFill>
        </w:rPr>
      </w:pPr>
    </w:p>
    <w:p>
      <w:pPr>
        <w:spacing w:line="580" w:lineRule="exact"/>
        <w:ind w:firstLine="640" w:firstLineChars="200"/>
        <w:outlineLvl w:val="2"/>
        <w:rPr>
          <w:rFonts w:eastAsia="方正黑体_GBK"/>
          <w:color w:val="000000" w:themeColor="text1"/>
          <w:sz w:val="32"/>
          <w:szCs w:val="32"/>
          <w14:textFill>
            <w14:solidFill>
              <w14:schemeClr w14:val="tx1"/>
            </w14:solidFill>
          </w14:textFill>
        </w:rPr>
      </w:pPr>
      <w:r>
        <w:rPr>
          <w:rFonts w:hint="eastAsia" w:eastAsia="方正黑体_GBK"/>
          <w:color w:val="000000" w:themeColor="text1"/>
          <w:sz w:val="32"/>
          <w:szCs w:val="32"/>
          <w14:textFill>
            <w14:solidFill>
              <w14:schemeClr w14:val="tx1"/>
            </w14:solidFill>
          </w14:textFill>
        </w:rPr>
        <w:t>一、主导产业布局</w:t>
      </w:r>
    </w:p>
    <w:p>
      <w:pPr>
        <w:spacing w:line="580" w:lineRule="exact"/>
        <w:ind w:firstLine="640" w:firstLineChars="200"/>
        <w:rPr>
          <w:rFonts w:cs="方正仿宋_GBK"/>
          <w:bCs/>
          <w:color w:val="000000" w:themeColor="text1"/>
          <w:sz w:val="32"/>
          <w:szCs w:val="32"/>
          <w:lang w:val="zh-CN"/>
          <w14:textFill>
            <w14:solidFill>
              <w14:schemeClr w14:val="tx1"/>
            </w14:solidFill>
          </w14:textFill>
        </w:rPr>
      </w:pPr>
      <w:r>
        <w:rPr>
          <w:rFonts w:hint="eastAsia" w:cs="方正仿宋_GBK"/>
          <w:bCs/>
          <w:color w:val="000000" w:themeColor="text1"/>
          <w:sz w:val="32"/>
          <w:szCs w:val="32"/>
          <w:lang w:val="zh-CN"/>
          <w14:textFill>
            <w14:solidFill>
              <w14:schemeClr w14:val="tx1"/>
            </w14:solidFill>
          </w14:textFill>
        </w:rPr>
        <w:t>在全市6大主导产业中，苏宿工业园区承担机电装备、光伏新能源、新材料</w:t>
      </w:r>
      <w:r>
        <w:rPr>
          <w:rFonts w:cs="方正仿宋_GBK"/>
          <w:bCs/>
          <w:color w:val="000000" w:themeColor="text1"/>
          <w:sz w:val="32"/>
          <w:szCs w:val="32"/>
          <w:lang w:val="zh-CN"/>
          <w14:textFill>
            <w14:solidFill>
              <w14:schemeClr w14:val="tx1"/>
            </w14:solidFill>
          </w14:textFill>
        </w:rPr>
        <w:t>3</w:t>
      </w:r>
      <w:r>
        <w:rPr>
          <w:rFonts w:hint="eastAsia" w:cs="方正仿宋_GBK"/>
          <w:bCs/>
          <w:color w:val="000000" w:themeColor="text1"/>
          <w:sz w:val="32"/>
          <w:szCs w:val="32"/>
          <w:lang w:val="zh-CN"/>
          <w14:textFill>
            <w14:solidFill>
              <w14:schemeClr w14:val="tx1"/>
            </w14:solidFill>
          </w14:textFill>
        </w:rPr>
        <w:t>大产业。其中：</w:t>
      </w:r>
      <w:r>
        <w:rPr>
          <w:rFonts w:hint="eastAsia" w:cs="方正仿宋_GBK"/>
          <w:b/>
          <w:bCs/>
          <w:color w:val="000000" w:themeColor="text1"/>
          <w:sz w:val="32"/>
          <w:szCs w:val="32"/>
          <w:lang w:val="zh-CN"/>
          <w14:textFill>
            <w14:solidFill>
              <w14:schemeClr w14:val="tx1"/>
            </w14:solidFill>
          </w14:textFill>
        </w:rPr>
        <w:t>机电装备产业</w:t>
      </w:r>
      <w:r>
        <w:rPr>
          <w:rFonts w:hint="eastAsia" w:cs="方正仿宋_GBK"/>
          <w:bCs/>
          <w:color w:val="000000" w:themeColor="text1"/>
          <w:sz w:val="32"/>
          <w:szCs w:val="32"/>
          <w:lang w:val="zh-CN"/>
          <w14:textFill>
            <w14:solidFill>
              <w14:schemeClr w14:val="tx1"/>
            </w14:solidFill>
          </w14:textFill>
        </w:rPr>
        <w:t>，主要生产自动化智能设备、精密自动化设备、衬氟设备及半导体机台，大力培育智能电网、充电设施等装备制造，同时适时探索发展风电、氢能、新型储能等新能源设备。不断完善以天御减振器为主导的汽车及零部件，以皓峰电器为主导的智能家电上下游产业链。</w:t>
      </w:r>
      <w:r>
        <w:rPr>
          <w:rFonts w:hint="eastAsia" w:cs="方正仿宋_GBK"/>
          <w:b/>
          <w:bCs/>
          <w:color w:val="000000" w:themeColor="text1"/>
          <w:sz w:val="32"/>
          <w:szCs w:val="32"/>
          <w:lang w:val="zh-CN"/>
          <w14:textFill>
            <w14:solidFill>
              <w14:schemeClr w14:val="tx1"/>
            </w14:solidFill>
          </w14:textFill>
        </w:rPr>
        <w:t>光伏新能源产业</w:t>
      </w:r>
      <w:r>
        <w:rPr>
          <w:rFonts w:hint="eastAsia" w:cs="方正仿宋_GBK"/>
          <w:bCs/>
          <w:color w:val="000000" w:themeColor="text1"/>
          <w:sz w:val="32"/>
          <w:szCs w:val="32"/>
          <w:lang w:val="zh-CN"/>
          <w14:textFill>
            <w14:solidFill>
              <w14:schemeClr w14:val="tx1"/>
            </w14:solidFill>
          </w14:textFill>
        </w:rPr>
        <w:t>，以聚成金刚石为引领，不断拓宽光伏组件，与周边地区形成联动。</w:t>
      </w:r>
      <w:r>
        <w:rPr>
          <w:rFonts w:hint="eastAsia" w:cs="方正仿宋_GBK"/>
          <w:b/>
          <w:bCs/>
          <w:color w:val="000000" w:themeColor="text1"/>
          <w:sz w:val="32"/>
          <w:szCs w:val="32"/>
          <w:lang w:val="zh-CN"/>
          <w14:textFill>
            <w14:solidFill>
              <w14:schemeClr w14:val="tx1"/>
            </w14:solidFill>
          </w14:textFill>
        </w:rPr>
        <w:t>新材料产业</w:t>
      </w:r>
      <w:r>
        <w:rPr>
          <w:rFonts w:hint="eastAsia" w:cs="方正仿宋_GBK"/>
          <w:bCs/>
          <w:color w:val="000000" w:themeColor="text1"/>
          <w:sz w:val="32"/>
          <w:szCs w:val="32"/>
          <w:lang w:val="zh-CN"/>
          <w14:textFill>
            <w14:solidFill>
              <w14:schemeClr w14:val="tx1"/>
            </w14:solidFill>
          </w14:textFill>
        </w:rPr>
        <w:t>，重点招引新型绿色建筑、高端金属母材、石墨烯、超导材料、精密陶瓷材料等生产企业。</w:t>
      </w:r>
    </w:p>
    <w:p>
      <w:pPr>
        <w:spacing w:line="580" w:lineRule="exact"/>
        <w:ind w:firstLine="640" w:firstLineChars="200"/>
        <w:outlineLvl w:val="2"/>
        <w:rPr>
          <w:rFonts w:eastAsia="方正黑体_GBK"/>
          <w:color w:val="000000" w:themeColor="text1"/>
          <w:sz w:val="32"/>
          <w:szCs w:val="32"/>
          <w14:textFill>
            <w14:solidFill>
              <w14:schemeClr w14:val="tx1"/>
            </w14:solidFill>
          </w14:textFill>
        </w:rPr>
      </w:pPr>
      <w:r>
        <w:rPr>
          <w:rFonts w:hint="eastAsia" w:eastAsia="方正黑体_GBK"/>
          <w:color w:val="000000" w:themeColor="text1"/>
          <w:sz w:val="32"/>
          <w:szCs w:val="32"/>
          <w14:textFill>
            <w14:solidFill>
              <w14:schemeClr w14:val="tx1"/>
            </w14:solidFill>
          </w14:textFill>
        </w:rPr>
        <w:t>二、先导产业布局</w:t>
      </w:r>
    </w:p>
    <w:p>
      <w:pPr>
        <w:spacing w:line="580" w:lineRule="exact"/>
        <w:ind w:firstLine="640" w:firstLineChars="200"/>
        <w:rPr>
          <w:color w:val="000000" w:themeColor="text1"/>
          <w:sz w:val="32"/>
          <w:szCs w:val="32"/>
          <w14:textFill>
            <w14:solidFill>
              <w14:schemeClr w14:val="tx1"/>
            </w14:solidFill>
          </w14:textFill>
        </w:rPr>
      </w:pPr>
      <w:r>
        <w:rPr>
          <w:rFonts w:hint="eastAsia" w:cs="方正仿宋_GBK"/>
          <w:bCs/>
          <w:color w:val="000000" w:themeColor="text1"/>
          <w:sz w:val="32"/>
          <w:szCs w:val="32"/>
          <w:lang w:val="zh-CN"/>
          <w14:textFill>
            <w14:solidFill>
              <w14:schemeClr w14:val="tx1"/>
            </w14:solidFill>
          </w14:textFill>
        </w:rPr>
        <w:t>在全市</w:t>
      </w:r>
      <w:r>
        <w:rPr>
          <w:rFonts w:cs="方正仿宋_GBK"/>
          <w:bCs/>
          <w:color w:val="000000" w:themeColor="text1"/>
          <w:sz w:val="32"/>
          <w:szCs w:val="32"/>
          <w:lang w:val="zh-CN"/>
          <w14:textFill>
            <w14:solidFill>
              <w14:schemeClr w14:val="tx1"/>
            </w14:solidFill>
          </w14:textFill>
        </w:rPr>
        <w:t>3</w:t>
      </w:r>
      <w:r>
        <w:rPr>
          <w:rFonts w:hint="eastAsia" w:cs="方正仿宋_GBK"/>
          <w:bCs/>
          <w:color w:val="000000" w:themeColor="text1"/>
          <w:sz w:val="32"/>
          <w:szCs w:val="32"/>
          <w:lang w:val="zh-CN"/>
          <w14:textFill>
            <w14:solidFill>
              <w14:schemeClr w14:val="tx1"/>
            </w14:solidFill>
          </w14:textFill>
        </w:rPr>
        <w:t>大先导产业中，苏宿工业园区重点承担新一代信息技术产业的集成电路、电子元器件</w:t>
      </w:r>
      <w:r>
        <w:rPr>
          <w:rFonts w:cs="方正仿宋_GBK"/>
          <w:bCs/>
          <w:color w:val="000000" w:themeColor="text1"/>
          <w:sz w:val="32"/>
          <w:szCs w:val="32"/>
          <w:lang w:val="zh-CN"/>
          <w14:textFill>
            <w14:solidFill>
              <w14:schemeClr w14:val="tx1"/>
            </w14:solidFill>
          </w14:textFill>
        </w:rPr>
        <w:t>2</w:t>
      </w:r>
      <w:r>
        <w:rPr>
          <w:rFonts w:hint="eastAsia" w:cs="方正仿宋_GBK"/>
          <w:bCs/>
          <w:color w:val="000000" w:themeColor="text1"/>
          <w:sz w:val="32"/>
          <w:szCs w:val="32"/>
          <w:lang w:val="zh-CN"/>
          <w14:textFill>
            <w14:solidFill>
              <w14:schemeClr w14:val="tx1"/>
            </w14:solidFill>
          </w14:textFill>
        </w:rPr>
        <w:t>个细分产业发展布局任务。其中：</w:t>
      </w:r>
      <w:r>
        <w:rPr>
          <w:rFonts w:hint="eastAsia" w:cs="方正仿宋_GBK"/>
          <w:b/>
          <w:bCs/>
          <w:color w:val="000000" w:themeColor="text1"/>
          <w:sz w:val="32"/>
          <w:szCs w:val="32"/>
          <w:lang w:val="zh-CN"/>
          <w14:textFill>
            <w14:solidFill>
              <w14:schemeClr w14:val="tx1"/>
            </w14:solidFill>
          </w14:textFill>
        </w:rPr>
        <w:t>集成电路产业</w:t>
      </w:r>
      <w:r>
        <w:rPr>
          <w:rFonts w:hint="eastAsia" w:cs="方正仿宋_GBK"/>
          <w:bCs/>
          <w:color w:val="000000" w:themeColor="text1"/>
          <w:sz w:val="32"/>
          <w:szCs w:val="32"/>
          <w:lang w:val="zh-CN"/>
          <w14:textFill>
            <w14:solidFill>
              <w14:schemeClr w14:val="tx1"/>
            </w14:solidFill>
          </w14:textFill>
        </w:rPr>
        <w:t>，</w:t>
      </w:r>
      <w:r>
        <w:rPr>
          <w:rFonts w:hint="eastAsia"/>
          <w:color w:val="000000" w:themeColor="text1"/>
          <w:sz w:val="32"/>
          <w:szCs w:val="32"/>
          <w14:textFill>
            <w14:solidFill>
              <w14:schemeClr w14:val="tx1"/>
            </w14:solidFill>
          </w14:textFill>
        </w:rPr>
        <w:t>重点发展集成电路封装测试，及相关关键原材料载带、载体等配件。</w:t>
      </w:r>
      <w:r>
        <w:rPr>
          <w:rFonts w:hint="eastAsia" w:cs="方正仿宋_GBK"/>
          <w:b/>
          <w:bCs/>
          <w:color w:val="000000" w:themeColor="text1"/>
          <w:sz w:val="32"/>
          <w:szCs w:val="32"/>
          <w:lang w:val="zh-CN"/>
          <w14:textFill>
            <w14:solidFill>
              <w14:schemeClr w14:val="tx1"/>
            </w14:solidFill>
          </w14:textFill>
        </w:rPr>
        <w:t>电子元器件产业</w:t>
      </w:r>
      <w:r>
        <w:rPr>
          <w:rFonts w:hint="eastAsia" w:cs="方正仿宋_GBK"/>
          <w:bCs/>
          <w:color w:val="000000" w:themeColor="text1"/>
          <w:sz w:val="32"/>
          <w:szCs w:val="32"/>
          <w:lang w:val="zh-CN"/>
          <w14:textFill>
            <w14:solidFill>
              <w14:schemeClr w14:val="tx1"/>
            </w14:solidFill>
          </w14:textFill>
        </w:rPr>
        <w:t>，</w:t>
      </w:r>
      <w:r>
        <w:rPr>
          <w:rFonts w:hint="eastAsia"/>
          <w:color w:val="000000" w:themeColor="text1"/>
          <w:sz w:val="32"/>
          <w:szCs w:val="32"/>
          <w14:textFill>
            <w14:solidFill>
              <w14:schemeClr w14:val="tx1"/>
            </w14:solidFill>
          </w14:textFill>
        </w:rPr>
        <w:t>重点发展连接器、外观件等通用电子部件总成和印制电路板等基础电子部件总成，以及电力存储、传输、充放等电力电子器件。</w:t>
      </w:r>
    </w:p>
    <w:p>
      <w:pPr>
        <w:spacing w:line="580" w:lineRule="exact"/>
        <w:ind w:firstLine="640" w:firstLineChars="200"/>
        <w:outlineLvl w:val="2"/>
        <w:rPr>
          <w:rFonts w:eastAsia="方正黑体_GBK"/>
          <w:color w:val="000000" w:themeColor="text1"/>
          <w:sz w:val="32"/>
          <w:szCs w:val="32"/>
          <w14:textFill>
            <w14:solidFill>
              <w14:schemeClr w14:val="tx1"/>
            </w14:solidFill>
          </w14:textFill>
        </w:rPr>
      </w:pPr>
      <w:r>
        <w:rPr>
          <w:rFonts w:hint="eastAsia" w:eastAsia="方正黑体_GBK"/>
          <w:color w:val="000000" w:themeColor="text1"/>
          <w:sz w:val="32"/>
          <w:szCs w:val="32"/>
          <w14:textFill>
            <w14:solidFill>
              <w14:schemeClr w14:val="tx1"/>
            </w14:solidFill>
          </w14:textFill>
        </w:rPr>
        <w:t>三、特色产业布局</w:t>
      </w:r>
    </w:p>
    <w:p>
      <w:pPr>
        <w:spacing w:line="580" w:lineRule="exact"/>
        <w:ind w:firstLine="640" w:firstLineChars="200"/>
        <w:rPr>
          <w:rFonts w:cs="方正仿宋_GBK"/>
          <w:bCs/>
          <w:color w:val="000000" w:themeColor="text1"/>
          <w:sz w:val="32"/>
          <w:szCs w:val="32"/>
          <w:lang w:val="zh-CN"/>
          <w14:textFill>
            <w14:solidFill>
              <w14:schemeClr w14:val="tx1"/>
            </w14:solidFill>
          </w14:textFill>
        </w:rPr>
      </w:pPr>
      <w:r>
        <w:rPr>
          <w:rFonts w:hint="eastAsia" w:cs="方正仿宋_GBK"/>
          <w:bCs/>
          <w:color w:val="000000" w:themeColor="text1"/>
          <w:sz w:val="32"/>
          <w:szCs w:val="32"/>
          <w:lang w:val="zh-CN"/>
          <w14:textFill>
            <w14:solidFill>
              <w14:schemeClr w14:val="tx1"/>
            </w14:solidFill>
          </w14:textFill>
        </w:rPr>
        <w:t>在完成全市产业布局任务基础上，苏宿工业园区结合自身产业优势，</w:t>
      </w:r>
      <w:r>
        <w:rPr>
          <w:rFonts w:cs="方正仿宋_GBK"/>
          <w:bCs/>
          <w:color w:val="000000" w:themeColor="text1"/>
          <w:sz w:val="32"/>
          <w:szCs w:val="32"/>
          <w:lang w:val="zh-CN"/>
          <w14:textFill>
            <w14:solidFill>
              <w14:schemeClr w14:val="tx1"/>
            </w14:solidFill>
          </w14:textFill>
        </w:rPr>
        <w:t>接受苏南产业梯度转移</w:t>
      </w:r>
      <w:r>
        <w:rPr>
          <w:rFonts w:hint="eastAsia" w:cs="方正仿宋_GBK"/>
          <w:bCs/>
          <w:color w:val="000000" w:themeColor="text1"/>
          <w:sz w:val="32"/>
          <w:szCs w:val="32"/>
          <w:lang w:val="zh-CN"/>
          <w14:textFill>
            <w14:solidFill>
              <w14:schemeClr w14:val="tx1"/>
            </w14:solidFill>
          </w14:textFill>
        </w:rPr>
        <w:t>，</w:t>
      </w:r>
      <w:r>
        <w:rPr>
          <w:rFonts w:cs="方正仿宋_GBK"/>
          <w:bCs/>
          <w:color w:val="000000" w:themeColor="text1"/>
          <w:sz w:val="32"/>
          <w:szCs w:val="32"/>
          <w:lang w:val="zh-CN"/>
          <w14:textFill>
            <w14:solidFill>
              <w14:schemeClr w14:val="tx1"/>
            </w14:solidFill>
          </w14:textFill>
        </w:rPr>
        <w:t>大力发展两岸中小企业合作园区</w:t>
      </w:r>
      <w:r>
        <w:rPr>
          <w:rFonts w:hint="eastAsia" w:cs="方正仿宋_GBK"/>
          <w:bCs/>
          <w:color w:val="000000" w:themeColor="text1"/>
          <w:sz w:val="32"/>
          <w:szCs w:val="32"/>
          <w:lang w:val="zh-CN"/>
          <w14:textFill>
            <w14:solidFill>
              <w14:schemeClr w14:val="tx1"/>
            </w14:solidFill>
          </w14:textFill>
        </w:rPr>
        <w:t>，</w:t>
      </w:r>
      <w:r>
        <w:rPr>
          <w:rFonts w:cs="方正仿宋_GBK"/>
          <w:bCs/>
          <w:color w:val="000000" w:themeColor="text1"/>
          <w:sz w:val="32"/>
          <w:szCs w:val="32"/>
          <w:lang w:val="zh-CN"/>
          <w14:textFill>
            <w14:solidFill>
              <w14:schemeClr w14:val="tx1"/>
            </w14:solidFill>
          </w14:textFill>
        </w:rPr>
        <w:t>不断提升台资企业集聚度</w:t>
      </w:r>
      <w:r>
        <w:rPr>
          <w:rFonts w:hint="eastAsia" w:cs="方正仿宋_GBK"/>
          <w:bCs/>
          <w:color w:val="000000" w:themeColor="text1"/>
          <w:sz w:val="32"/>
          <w:szCs w:val="32"/>
          <w:lang w:val="zh-CN"/>
          <w14:textFill>
            <w14:solidFill>
              <w14:schemeClr w14:val="tx1"/>
            </w14:solidFill>
          </w14:textFill>
        </w:rPr>
        <w:t>，</w:t>
      </w:r>
      <w:r>
        <w:rPr>
          <w:rFonts w:cs="方正仿宋_GBK"/>
          <w:bCs/>
          <w:color w:val="000000" w:themeColor="text1"/>
          <w:sz w:val="32"/>
          <w:szCs w:val="32"/>
          <w:lang w:val="zh-CN"/>
          <w14:textFill>
            <w14:solidFill>
              <w14:schemeClr w14:val="tx1"/>
            </w14:solidFill>
          </w14:textFill>
        </w:rPr>
        <w:t>努力打造宿迁外资企业新高地</w:t>
      </w:r>
      <w:r>
        <w:rPr>
          <w:rFonts w:hint="eastAsia" w:cs="方正仿宋_GBK"/>
          <w:bCs/>
          <w:color w:val="000000" w:themeColor="text1"/>
          <w:sz w:val="32"/>
          <w:szCs w:val="32"/>
          <w:lang w:val="zh-CN"/>
          <w14:textFill>
            <w14:solidFill>
              <w14:schemeClr w14:val="tx1"/>
            </w14:solidFill>
          </w14:textFill>
        </w:rPr>
        <w:t>。</w:t>
      </w:r>
    </w:p>
    <w:p>
      <w:pPr>
        <w:pStyle w:val="2"/>
        <w:spacing w:line="580" w:lineRule="exact"/>
        <w:ind w:firstLine="331"/>
        <w:rPr>
          <w:rFonts w:ascii="Times New Roman" w:hAnsi="Times New Roman"/>
          <w:color w:val="000000" w:themeColor="text1"/>
          <w:lang w:bidi="ar-SA"/>
          <w14:textFill>
            <w14:solidFill>
              <w14:schemeClr w14:val="tx1"/>
            </w14:solidFill>
          </w14:textFill>
        </w:rPr>
      </w:pPr>
    </w:p>
    <w:p>
      <w:pPr>
        <w:pStyle w:val="2"/>
        <w:spacing w:line="580" w:lineRule="exact"/>
        <w:ind w:firstLine="331"/>
        <w:rPr>
          <w:rFonts w:ascii="Times New Roman" w:hAnsi="Times New Roman"/>
          <w:color w:val="000000" w:themeColor="text1"/>
          <w:lang w:bidi="ar-SA"/>
          <w14:textFill>
            <w14:solidFill>
              <w14:schemeClr w14:val="tx1"/>
            </w14:solidFill>
          </w14:textFill>
        </w:rPr>
      </w:pPr>
    </w:p>
    <w:p>
      <w:pPr>
        <w:pStyle w:val="2"/>
        <w:spacing w:line="580" w:lineRule="exact"/>
        <w:ind w:firstLine="331"/>
        <w:rPr>
          <w:rFonts w:ascii="Times New Roman" w:hAnsi="Times New Roman"/>
          <w:color w:val="000000" w:themeColor="text1"/>
          <w:lang w:bidi="ar-SA"/>
          <w14:textFill>
            <w14:solidFill>
              <w14:schemeClr w14:val="tx1"/>
            </w14:solidFill>
          </w14:textFill>
        </w:rPr>
        <w:sectPr>
          <w:headerReference r:id="rId5" w:type="default"/>
          <w:footerReference r:id="rId6" w:type="default"/>
          <w:pgSz w:w="11906" w:h="16838"/>
          <w:pgMar w:top="1554" w:right="1690" w:bottom="1610" w:left="1690" w:header="851" w:footer="992" w:gutter="0"/>
          <w:pgNumType w:start="1"/>
          <w:cols w:space="425" w:num="1"/>
          <w:docGrid w:type="lines" w:linePitch="312" w:charSpace="0"/>
        </w:sectPr>
      </w:pPr>
    </w:p>
    <w:p>
      <w:pPr>
        <w:spacing w:after="120" w:line="580" w:lineRule="exact"/>
        <w:jc w:val="center"/>
        <w:rPr>
          <w:rFonts w:eastAsia="方正黑体_GBK"/>
          <w:color w:val="000000" w:themeColor="text1"/>
          <w:sz w:val="30"/>
          <w:szCs w:val="30"/>
          <w14:textFill>
            <w14:solidFill>
              <w14:schemeClr w14:val="tx1"/>
            </w14:solidFill>
          </w14:textFill>
        </w:rPr>
      </w:pPr>
      <w:r>
        <w:rPr>
          <w:rFonts w:hint="eastAsia" w:eastAsia="方正黑体_GBK"/>
          <w:color w:val="000000" w:themeColor="text1"/>
          <w:sz w:val="30"/>
          <w:szCs w:val="30"/>
          <w14:textFill>
            <w14:solidFill>
              <w14:schemeClr w14:val="tx1"/>
            </w14:solidFill>
          </w14:textFill>
        </w:rPr>
        <w:t>宿迁市各县区及重点园区产业布局示意图</w:t>
      </w:r>
    </w:p>
    <w:p>
      <w:pPr>
        <w:spacing w:after="120" w:line="580" w:lineRule="exact"/>
        <w:jc w:val="center"/>
        <w:rPr>
          <w:rFonts w:eastAsia="方正黑体_GBK"/>
          <w:color w:val="000000" w:themeColor="text1"/>
          <w:sz w:val="30"/>
          <w:szCs w:val="30"/>
          <w14:textFill>
            <w14:solidFill>
              <w14:schemeClr w14:val="tx1"/>
            </w14:solidFill>
          </w14:textFill>
        </w:rPr>
      </w:pPr>
      <w:r>
        <w:rPr>
          <w:rFonts w:hint="eastAsia" w:eastAsia="方正黑体_GBK"/>
          <w:color w:val="000000" w:themeColor="text1"/>
          <w:sz w:val="30"/>
          <w:szCs w:val="30"/>
          <w14:textFill>
            <w14:solidFill>
              <w14:schemeClr w14:val="tx1"/>
            </w14:solidFill>
          </w14:textFill>
        </w:rPr>
        <w:drawing>
          <wp:anchor distT="0" distB="0" distL="114935" distR="114935" simplePos="0" relativeHeight="251659264" behindDoc="0" locked="0" layoutInCell="1" allowOverlap="1">
            <wp:simplePos x="0" y="0"/>
            <wp:positionH relativeFrom="column">
              <wp:posOffset>1131570</wp:posOffset>
            </wp:positionH>
            <wp:positionV relativeFrom="paragraph">
              <wp:posOffset>22225</wp:posOffset>
            </wp:positionV>
            <wp:extent cx="7570470" cy="4404995"/>
            <wp:effectExtent l="0" t="0" r="11430" b="14605"/>
            <wp:wrapNone/>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8"/>
                    <a:stretch>
                      <a:fillRect/>
                    </a:stretch>
                  </pic:blipFill>
                  <pic:spPr>
                    <a:xfrm>
                      <a:off x="0" y="0"/>
                      <a:ext cx="7570470" cy="4404995"/>
                    </a:xfrm>
                    <a:prstGeom prst="rect">
                      <a:avLst/>
                    </a:prstGeom>
                  </pic:spPr>
                </pic:pic>
              </a:graphicData>
            </a:graphic>
          </wp:anchor>
        </w:drawing>
      </w:r>
    </w:p>
    <w:p>
      <w:pPr>
        <w:spacing w:after="120" w:line="580" w:lineRule="exact"/>
        <w:jc w:val="center"/>
        <w:rPr>
          <w:rFonts w:eastAsia="方正黑体_GBK"/>
          <w:color w:val="000000" w:themeColor="text1"/>
          <w:sz w:val="30"/>
          <w:szCs w:val="30"/>
          <w14:textFill>
            <w14:solidFill>
              <w14:schemeClr w14:val="tx1"/>
            </w14:solidFill>
          </w14:textFill>
        </w:rPr>
      </w:pPr>
    </w:p>
    <w:p>
      <w:pPr>
        <w:spacing w:after="120" w:line="580" w:lineRule="exact"/>
        <w:jc w:val="center"/>
        <w:rPr>
          <w:rFonts w:eastAsia="方正黑体_GBK"/>
          <w:color w:val="000000" w:themeColor="text1"/>
          <w:sz w:val="30"/>
          <w:szCs w:val="30"/>
          <w14:textFill>
            <w14:solidFill>
              <w14:schemeClr w14:val="tx1"/>
            </w14:solidFill>
          </w14:textFill>
        </w:rPr>
      </w:pPr>
    </w:p>
    <w:p>
      <w:pPr>
        <w:spacing w:after="120" w:line="580" w:lineRule="exact"/>
        <w:jc w:val="center"/>
        <w:rPr>
          <w:rFonts w:eastAsia="方正黑体_GBK"/>
          <w:color w:val="000000" w:themeColor="text1"/>
          <w:sz w:val="30"/>
          <w:szCs w:val="30"/>
          <w14:textFill>
            <w14:solidFill>
              <w14:schemeClr w14:val="tx1"/>
            </w14:solidFill>
          </w14:textFill>
        </w:rPr>
      </w:pPr>
    </w:p>
    <w:p>
      <w:pPr>
        <w:spacing w:after="120" w:line="580" w:lineRule="exact"/>
        <w:jc w:val="center"/>
        <w:rPr>
          <w:rFonts w:eastAsia="方正黑体_GBK"/>
          <w:color w:val="000000" w:themeColor="text1"/>
          <w:sz w:val="30"/>
          <w:szCs w:val="30"/>
          <w14:textFill>
            <w14:solidFill>
              <w14:schemeClr w14:val="tx1"/>
            </w14:solidFill>
          </w14:textFill>
        </w:rPr>
      </w:pPr>
    </w:p>
    <w:p>
      <w:pPr>
        <w:spacing w:after="120" w:line="580" w:lineRule="exact"/>
        <w:jc w:val="center"/>
        <w:rPr>
          <w:rFonts w:eastAsia="方正黑体_GBK"/>
          <w:color w:val="000000" w:themeColor="text1"/>
          <w:sz w:val="30"/>
          <w:szCs w:val="30"/>
          <w14:textFill>
            <w14:solidFill>
              <w14:schemeClr w14:val="tx1"/>
            </w14:solidFill>
          </w14:textFill>
        </w:rPr>
      </w:pPr>
    </w:p>
    <w:p>
      <w:pPr>
        <w:spacing w:after="120" w:line="580" w:lineRule="exact"/>
        <w:jc w:val="center"/>
        <w:rPr>
          <w:rFonts w:eastAsia="方正黑体_GBK"/>
          <w:color w:val="000000" w:themeColor="text1"/>
          <w:sz w:val="30"/>
          <w:szCs w:val="30"/>
          <w14:textFill>
            <w14:solidFill>
              <w14:schemeClr w14:val="tx1"/>
            </w14:solidFill>
          </w14:textFill>
        </w:rPr>
      </w:pPr>
    </w:p>
    <w:p>
      <w:pPr>
        <w:spacing w:after="120" w:line="580" w:lineRule="exact"/>
        <w:jc w:val="center"/>
        <w:rPr>
          <w:rFonts w:eastAsia="方正黑体_GBK"/>
          <w:color w:val="000000" w:themeColor="text1"/>
          <w:sz w:val="30"/>
          <w:szCs w:val="30"/>
          <w14:textFill>
            <w14:solidFill>
              <w14:schemeClr w14:val="tx1"/>
            </w14:solidFill>
          </w14:textFill>
        </w:rPr>
      </w:pPr>
    </w:p>
    <w:p>
      <w:pPr>
        <w:spacing w:after="120" w:line="580" w:lineRule="exact"/>
        <w:jc w:val="center"/>
        <w:rPr>
          <w:rFonts w:eastAsia="方正黑体_GBK"/>
          <w:color w:val="000000" w:themeColor="text1"/>
          <w:sz w:val="30"/>
          <w:szCs w:val="30"/>
          <w14:textFill>
            <w14:solidFill>
              <w14:schemeClr w14:val="tx1"/>
            </w14:solidFill>
          </w14:textFill>
        </w:rPr>
      </w:pPr>
    </w:p>
    <w:p>
      <w:pPr>
        <w:spacing w:after="120" w:line="580" w:lineRule="exact"/>
        <w:jc w:val="center"/>
        <w:rPr>
          <w:rFonts w:eastAsia="方正黑体_GBK"/>
          <w:color w:val="000000" w:themeColor="text1"/>
          <w:sz w:val="30"/>
          <w:szCs w:val="30"/>
          <w14:textFill>
            <w14:solidFill>
              <w14:schemeClr w14:val="tx1"/>
            </w14:solidFill>
          </w14:textFill>
        </w:rPr>
      </w:pPr>
    </w:p>
    <w:p>
      <w:pPr>
        <w:pStyle w:val="32"/>
        <w:spacing w:line="580" w:lineRule="exact"/>
        <w:rPr>
          <w:color w:val="000000" w:themeColor="text1"/>
          <w14:textFill>
            <w14:solidFill>
              <w14:schemeClr w14:val="tx1"/>
            </w14:solidFill>
          </w14:textFill>
        </w:rPr>
        <w:sectPr>
          <w:pgSz w:w="16838" w:h="11906" w:orient="landscape"/>
          <w:pgMar w:top="720" w:right="720" w:bottom="720" w:left="720" w:header="851" w:footer="992" w:gutter="0"/>
          <w:cols w:space="425" w:num="1"/>
          <w:docGrid w:type="lines" w:linePitch="312" w:charSpace="0"/>
        </w:sectPr>
      </w:pPr>
    </w:p>
    <w:p>
      <w:pPr>
        <w:pStyle w:val="3"/>
        <w:spacing w:line="580" w:lineRule="exact"/>
        <w:rPr>
          <w:color w:val="000000" w:themeColor="text1"/>
          <w14:textFill>
            <w14:solidFill>
              <w14:schemeClr w14:val="tx1"/>
            </w14:solidFill>
          </w14:textFill>
        </w:rPr>
      </w:pPr>
      <w:bookmarkStart w:id="50" w:name="_Toc75019425"/>
    </w:p>
    <w:p>
      <w:pPr>
        <w:pStyle w:val="6"/>
        <w:spacing w:before="0" w:after="0" w:line="580" w:lineRule="exact"/>
        <w:jc w:val="center"/>
        <w:rPr>
          <w:rFonts w:eastAsia="方正黑体_GBK"/>
          <w:b w:val="0"/>
          <w:color w:val="000000" w:themeColor="text1"/>
          <w:sz w:val="32"/>
          <w:szCs w:val="32"/>
          <w14:textFill>
            <w14:solidFill>
              <w14:schemeClr w14:val="tx1"/>
            </w14:solidFill>
          </w14:textFill>
        </w:rPr>
      </w:pPr>
      <w:bookmarkStart w:id="51" w:name="_Toc29935"/>
      <w:r>
        <w:rPr>
          <w:rFonts w:hint="eastAsia" w:eastAsia="方正黑体_GBK"/>
          <w:b w:val="0"/>
          <w:color w:val="000000" w:themeColor="text1"/>
          <w:sz w:val="32"/>
          <w:szCs w:val="32"/>
          <w14:textFill>
            <w14:solidFill>
              <w14:schemeClr w14:val="tx1"/>
            </w14:solidFill>
          </w14:textFill>
        </w:rPr>
        <w:t>第六章  主要任务</w:t>
      </w:r>
      <w:bookmarkEnd w:id="50"/>
      <w:bookmarkEnd w:id="51"/>
    </w:p>
    <w:p>
      <w:pPr>
        <w:spacing w:line="580" w:lineRule="exact"/>
        <w:rPr>
          <w:rFonts w:eastAsia="方正楷体_GBK"/>
          <w:b/>
          <w:color w:val="000000" w:themeColor="text1"/>
          <w:sz w:val="32"/>
          <w:szCs w:val="32"/>
          <w14:textFill>
            <w14:solidFill>
              <w14:schemeClr w14:val="tx1"/>
            </w14:solidFill>
          </w14:textFill>
        </w:rPr>
      </w:pP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十四五”时期，全市围绕“产业升级、企业培育、科技创新、融合发展、绿色发展、平台提升、开放合作”七大任务，大力实施“5321”、产业链培育、招商“个十百千”等重点工程，推动工业经济做大总量、拓展增量、优化存量、提高质量。</w:t>
      </w:r>
    </w:p>
    <w:p>
      <w:pPr>
        <w:spacing w:line="580" w:lineRule="exact"/>
        <w:rPr>
          <w:rFonts w:eastAsia="方正楷体_GBK"/>
          <w:b/>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52" w:name="_Toc28936"/>
      <w:bookmarkStart w:id="53" w:name="_Toc75019426"/>
      <w:r>
        <w:rPr>
          <w:rFonts w:hint="eastAsia" w:ascii="Times New Roman" w:hAnsi="Times New Roman" w:eastAsia="方正楷体_GBK"/>
          <w:b w:val="0"/>
          <w:color w:val="000000" w:themeColor="text1"/>
          <w14:textFill>
            <w14:solidFill>
              <w14:schemeClr w14:val="tx1"/>
            </w14:solidFill>
          </w14:textFill>
        </w:rPr>
        <w:t>第一节  加快构建现代产业体系</w:t>
      </w:r>
      <w:bookmarkEnd w:id="52"/>
      <w:bookmarkEnd w:id="53"/>
    </w:p>
    <w:p>
      <w:pPr>
        <w:spacing w:line="580" w:lineRule="exact"/>
        <w:rPr>
          <w:rFonts w:eastAsia="方正楷体_GBK"/>
          <w:b/>
          <w:color w:val="000000" w:themeColor="text1"/>
          <w:sz w:val="32"/>
          <w:szCs w:val="32"/>
          <w14:textFill>
            <w14:solidFill>
              <w14:schemeClr w14:val="tx1"/>
            </w14:solidFill>
          </w14:textFill>
        </w:rPr>
      </w:pP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一、不断强化产业招商</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一是优化招商引资机制</w:t>
      </w:r>
      <w:r>
        <w:rPr>
          <w:rFonts w:hint="eastAsia"/>
          <w:color w:val="000000" w:themeColor="text1"/>
          <w:sz w:val="32"/>
          <w:szCs w:val="32"/>
          <w14:textFill>
            <w14:solidFill>
              <w14:schemeClr w14:val="tx1"/>
            </w14:solidFill>
          </w14:textFill>
        </w:rPr>
        <w:t>。持续释放“168”招商机制潜力，健全驻外招商局、招商服务中心、异地商会“三位一体”招商体系，加强专业招商队伍建设，进一步畅通与各县区、市各功能区之间的招商服务通道，推动形成一体化招商联动新格局。创新招商引资模式，以招商引资“个十百千”工程为引领，建立产业招商联盟和招商引资智库，探索更深层次的中介招商、以商引商、委托招商、基金招商等方式，紧盯央企和长三角、珠三角等地区，梯次实施招商引资“双百行动”，精心组织好中国宿迁绿色产业洽谈会、中国酒都（宿迁）文化旅游节等品牌活动，切实提高招商引资实效。</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二是加大招商引资力度。</w:t>
      </w:r>
      <w:r>
        <w:rPr>
          <w:rFonts w:hint="eastAsia"/>
          <w:color w:val="000000" w:themeColor="text1"/>
          <w:sz w:val="32"/>
          <w:szCs w:val="32"/>
          <w14:textFill>
            <w14:solidFill>
              <w14:schemeClr w14:val="tx1"/>
            </w14:solidFill>
          </w14:textFill>
        </w:rPr>
        <w:t>围绕“6+3+X”产业及20条重点产业链，大力招引大型央企国企、跨国公司、世界500强等境内外龙头企业、科研机构等在宿迁设立地区总部、研发中心、营销中心、物流中心、结算中心等功能性机构。围绕产业链龙头企业，以各产业园区、基地等重大平台为载体，促进引资、引技、引智相结合，引进相关领域配套企业，打造产业集群。以县区和开发区（新区、园区）为主战场，优化招商方向、招商重点、招商区域的定位和选择，加强项目布局和规划，分区域、分产业加大工业项目招商力度，着力招引产业层次高、创新能力强、发展前景好的项目，做好建链、补链、强链的文章，提高产业集聚度和产业特色。</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三是加快项目转化。</w:t>
      </w:r>
      <w:r>
        <w:rPr>
          <w:rFonts w:hint="eastAsia"/>
          <w:color w:val="000000" w:themeColor="text1"/>
          <w:sz w:val="32"/>
          <w:szCs w:val="32"/>
          <w14:textFill>
            <w14:solidFill>
              <w14:schemeClr w14:val="tx1"/>
            </w14:solidFill>
          </w14:textFill>
        </w:rPr>
        <w:t>深化“月汇报、季观摩、年考评”和“五个一”项目推进机制，完善重特大产业项目联席会议制度，定期召开项目工作调度会和现场推进会，加强工作统筹，制定“时间表”“路线图”，将项目招引计划、储备计划、投资计划、开竣工计划等目标任务逐一量化分解，切实做好项目协调指导和跟踪服务。强化过程管理，做好月度监测和通报，落实双月会办制度，完善企业问题收集汇总机制，全面掌握企业在生产经营、项目建设中存在的问题，及时协调解决。强化年度考核，有效发挥考核的引导推动作用。优化生产要素配置，精心做好沟通协调和帮办服务，强化政策集成支持，围绕“补链、强链”项目，根据项目规模和质态量身定制差别化支持政策，推动生产要素、政策资源向重大工业项目、战略性新兴产业项目集聚。</w:t>
      </w:r>
    </w:p>
    <w:p>
      <w:pPr>
        <w:pStyle w:val="2"/>
        <w:ind w:firstLine="331"/>
      </w:pP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580" w:lineRule="exact"/>
              <w:jc w:val="center"/>
              <w:rPr>
                <w:rFonts w:eastAsia="方正楷体_GBK"/>
                <w:color w:val="000000" w:themeColor="text1"/>
                <w:kern w:val="0"/>
                <w:sz w:val="28"/>
                <w:szCs w:val="28"/>
                <w14:textFill>
                  <w14:solidFill>
                    <w14:schemeClr w14:val="tx1"/>
                  </w14:solidFill>
                </w14:textFill>
              </w:rPr>
            </w:pPr>
            <w:r>
              <w:rPr>
                <w:rFonts w:eastAsia="方正黑体_GBK"/>
                <w:color w:val="000000" w:themeColor="text1"/>
                <w:kern w:val="0"/>
                <w:sz w:val="28"/>
                <w:szCs w:val="28"/>
                <w14:textFill>
                  <w14:solidFill>
                    <w14:schemeClr w14:val="tx1"/>
                  </w14:solidFill>
                </w14:textFill>
              </w:rPr>
              <w:t>专栏6-1</w:t>
            </w:r>
            <w:r>
              <w:rPr>
                <w:rFonts w:hint="eastAsia" w:eastAsia="方正黑体_GBK"/>
                <w:color w:val="000000" w:themeColor="text1"/>
                <w:kern w:val="0"/>
                <w:sz w:val="28"/>
                <w:szCs w:val="28"/>
                <w14:textFill>
                  <w14:solidFill>
                    <w14:schemeClr w14:val="tx1"/>
                  </w14:solidFill>
                </w14:textFill>
              </w:rPr>
              <w:t xml:space="preserve">  产业招商“个十百千”工程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00" w:lineRule="exact"/>
              <w:ind w:firstLine="560" w:firstLineChars="200"/>
              <w:rPr>
                <w:rFonts w:eastAsia="方正黑体_GBK"/>
                <w:color w:val="000000" w:themeColor="text1"/>
                <w:kern w:val="0"/>
                <w:sz w:val="28"/>
                <w:szCs w:val="28"/>
                <w14:textFill>
                  <w14:solidFill>
                    <w14:schemeClr w14:val="tx1"/>
                  </w14:solidFill>
                </w14:textFill>
              </w:rPr>
            </w:pPr>
            <w:r>
              <w:rPr>
                <w:rFonts w:hint="eastAsia"/>
                <w:color w:val="000000" w:themeColor="text1"/>
                <w:kern w:val="0"/>
                <w:sz w:val="28"/>
                <w:szCs w:val="28"/>
                <w14:textFill>
                  <w14:solidFill>
                    <w14:schemeClr w14:val="tx1"/>
                  </w14:solidFill>
                </w14:textFill>
              </w:rPr>
              <w:t>每年平均每天落地1个亿元以上工业项目、全年新签约50亿元以上工业项目10个、10亿元以上工业项目100个、新竣工项目完成投资额超1500亿元。鼓励围绕产业链强链补链延链方向推进重大关键项目建设，按照“一链一策”“一项目一议”的方式，由项目落户的县（区）、园区给予重点支持，市级产业发展基金给予优先支持。</w:t>
            </w:r>
          </w:p>
        </w:tc>
      </w:tr>
    </w:tbl>
    <w:p>
      <w:pPr>
        <w:pStyle w:val="8"/>
        <w:spacing w:before="156" w:beforeLines="5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二、持续优化产业结构</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一是推动传统产业转型升级。</w:t>
      </w:r>
      <w:r>
        <w:rPr>
          <w:rFonts w:hint="eastAsia"/>
          <w:color w:val="000000" w:themeColor="text1"/>
          <w:sz w:val="32"/>
          <w:szCs w:val="32"/>
          <w14:textFill>
            <w14:solidFill>
              <w14:schemeClr w14:val="tx1"/>
            </w14:solidFill>
          </w14:textFill>
        </w:rPr>
        <w:t>注重引进新一代高新技术，提高产业内生增长动力。重点聚焦酒类、绿色食品、高端纺织、绿色家居等传统产业，通过深入实施两化融合、推进智能化和绿色化改造，运用新技术、新材料和新工艺等提高生产效率，开发顺应行业发展趋势的新产品；引导发展“互联网+制造”“服务型制造”等新业态新模式，提升产业层次和发展水平。实施“文化+”战略，结合我市文化创意产业发展基础，推动制造业与文化创意产业融合发展，鼓励企业将宿迁丰富特色的文化因素融入产品设计和服务之中，打造具有地域特色和文化基因的新产品和新品牌，助力传统产业提升附加值和竞争力。</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二是大力培育新兴产业。</w:t>
      </w:r>
      <w:r>
        <w:rPr>
          <w:rFonts w:hint="eastAsia"/>
          <w:color w:val="000000" w:themeColor="text1"/>
          <w:sz w:val="32"/>
          <w:szCs w:val="32"/>
          <w14:textFill>
            <w14:solidFill>
              <w14:schemeClr w14:val="tx1"/>
            </w14:solidFill>
          </w14:textFill>
        </w:rPr>
        <w:t>注重加快新兴产业项目招引，重点聚焦激光装备、光伏新能源、新材料、智能家电等新兴产业，加强与相关领域的国家级科研院所、央企、大型地方国企、行业领军型企业、跨国公司等对接合作，“一企一策”制定对接招引方案，强化科技成果转化与招商引资服务能力，大力招引培育投资规模大、技术水平高、带动能力强、成长性好的大企业大项目。强化关键核心技术、资金、人才等高端资源要素导入。按照国家统一部署，积极承担要素市场化改革、财税投融资体制改革的试点示范任务，优化完善促进新兴产业发展的体制机制，引导资本、人才等高端要素资源向新兴产业集聚。围绕全市重点发展的新兴产业，组织开展关键共性技术摸排行动，加大技术攻关支持力度，提升产业自主可控能力。</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三是前瞻布局先导产业。</w:t>
      </w:r>
      <w:r>
        <w:rPr>
          <w:rFonts w:hint="eastAsia"/>
          <w:color w:val="000000" w:themeColor="text1"/>
          <w:sz w:val="32"/>
          <w:szCs w:val="32"/>
          <w14:textFill>
            <w14:solidFill>
              <w14:schemeClr w14:val="tx1"/>
            </w14:solidFill>
          </w14:textFill>
        </w:rPr>
        <w:t>加强先导产业发展趋势研判，研究制定“先导产业跟踪布局计划”，强化对新技术、新业态、新模式的敏锐性，结合全市及长三角地区应用需求和产业发展趋势，遴选一批正在兴起还未出现爆发式增长的产业及技术领域进行布局。探索建立与长三角先进地区产业创新离岸孵化机制，积极对接上海、南京、杭州、苏州等长三角先进地区的科教创新资源，以离岸孵化方式，招引孵化高端装备、生物医药、数字经济、前沿新材料等领域的高端创新项目和创业人才，建立先导产业培育孵化项目库，为加快未来产业发展添劲续力。</w:t>
      </w:r>
    </w:p>
    <w:p>
      <w:pPr>
        <w:spacing w:line="580" w:lineRule="exact"/>
        <w:ind w:firstLine="643" w:firstLineChars="200"/>
        <w:rPr>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四是</w:t>
      </w:r>
      <w:r>
        <w:rPr>
          <w:b/>
          <w:bCs/>
          <w:color w:val="000000" w:themeColor="text1"/>
          <w:sz w:val="32"/>
          <w:szCs w:val="32"/>
          <w14:textFill>
            <w14:solidFill>
              <w14:schemeClr w14:val="tx1"/>
            </w14:solidFill>
          </w14:textFill>
        </w:rPr>
        <w:t>积极打造地标产业。</w:t>
      </w:r>
      <w:r>
        <w:rPr>
          <w:rFonts w:hint="eastAsia"/>
          <w:color w:val="000000" w:themeColor="text1"/>
          <w:sz w:val="32"/>
          <w:szCs w:val="32"/>
          <w14:textFill>
            <w14:solidFill>
              <w14:schemeClr w14:val="tx1"/>
            </w14:solidFill>
          </w14:textFill>
        </w:rPr>
        <w:t>加快建设</w:t>
      </w:r>
      <w:r>
        <w:rPr>
          <w:color w:val="000000" w:themeColor="text1"/>
          <w:sz w:val="32"/>
          <w:szCs w:val="32"/>
          <w14:textFill>
            <w14:solidFill>
              <w14:schemeClr w14:val="tx1"/>
            </w14:solidFill>
          </w14:textFill>
        </w:rPr>
        <w:t>中国酒都。以</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六大工程</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为抓手，以提升酒品质为根本立足点，全方位塑造产区形象。</w:t>
      </w:r>
      <w:r>
        <w:rPr>
          <w:rFonts w:hint="eastAsia"/>
          <w:color w:val="000000" w:themeColor="text1"/>
          <w:sz w:val="32"/>
          <w:szCs w:val="32"/>
          <w14:textFill>
            <w14:solidFill>
              <w14:schemeClr w14:val="tx1"/>
            </w14:solidFill>
          </w14:textFill>
        </w:rPr>
        <w:t>加快建设江苏省酿造产业园，</w:t>
      </w:r>
      <w:r>
        <w:rPr>
          <w:rFonts w:hint="eastAsia"/>
          <w:color w:val="000000" w:themeColor="text1"/>
          <w:sz w:val="32"/>
          <w:szCs w:val="32"/>
          <w:lang w:bidi="zh-TW"/>
          <w14:textFill>
            <w14:solidFill>
              <w14:schemeClr w14:val="tx1"/>
            </w14:solidFill>
          </w14:textFill>
        </w:rPr>
        <w:t>推动</w:t>
      </w:r>
      <w:r>
        <w:rPr>
          <w:color w:val="000000" w:themeColor="text1"/>
          <w:sz w:val="32"/>
          <w:szCs w:val="32"/>
          <w:lang w:bidi="zh-TW"/>
          <w14:textFill>
            <w14:solidFill>
              <w14:schemeClr w14:val="tx1"/>
            </w14:solidFill>
          </w14:textFill>
        </w:rPr>
        <w:t>江苏省酿造制造业创新中心</w:t>
      </w:r>
      <w:r>
        <w:rPr>
          <w:rFonts w:hint="eastAsia"/>
          <w:color w:val="000000" w:themeColor="text1"/>
          <w:sz w:val="32"/>
          <w:szCs w:val="32"/>
          <w:lang w:bidi="zh-TW"/>
          <w14:textFill>
            <w14:solidFill>
              <w14:schemeClr w14:val="tx1"/>
            </w14:solidFill>
          </w14:textFill>
        </w:rPr>
        <w:t>投入运营，积极</w:t>
      </w:r>
      <w:r>
        <w:rPr>
          <w:color w:val="000000" w:themeColor="text1"/>
          <w:sz w:val="32"/>
          <w:szCs w:val="32"/>
          <w:lang w:bidi="zh-TW"/>
          <w14:textFill>
            <w14:solidFill>
              <w14:schemeClr w14:val="tx1"/>
            </w14:solidFill>
          </w14:textFill>
        </w:rPr>
        <w:t>开展生物发酵过程智能控制技术、白酒健康因子精准控制技术、微生物资源安全检测等技术的研究</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加强资本运作、兼并重组、酱香型等新品味开发，促进大中小企业融通发展，培育宿迁酒企</w:t>
      </w:r>
      <w:r>
        <w:rPr>
          <w:rFonts w:hint="eastAsia"/>
          <w:color w:val="000000" w:themeColor="text1"/>
          <w:sz w:val="32"/>
          <w:szCs w:val="32"/>
          <w14:textFill>
            <w14:solidFill>
              <w14:schemeClr w14:val="tx1"/>
            </w14:solidFill>
          </w14:textFill>
        </w:rPr>
        <w:t>第二梯队</w:t>
      </w:r>
      <w:r>
        <w:rPr>
          <w:color w:val="000000" w:themeColor="text1"/>
          <w:sz w:val="32"/>
          <w:szCs w:val="32"/>
          <w14:textFill>
            <w14:solidFill>
              <w14:schemeClr w14:val="tx1"/>
            </w14:solidFill>
          </w14:textFill>
        </w:rPr>
        <w:t>，加快形成酒产业先进制造业集群。</w:t>
      </w:r>
      <w:r>
        <w:rPr>
          <w:rFonts w:hint="eastAsia"/>
          <w:color w:val="000000" w:themeColor="text1"/>
          <w:sz w:val="32"/>
          <w:szCs w:val="32"/>
          <w14:textFill>
            <w14:solidFill>
              <w14:schemeClr w14:val="tx1"/>
            </w14:solidFill>
          </w14:textFill>
        </w:rPr>
        <w:t>充分发挥“京东”平台优势</w:t>
      </w:r>
      <w:r>
        <w:rPr>
          <w:color w:val="000000" w:themeColor="text1"/>
          <w:sz w:val="32"/>
          <w:szCs w:val="32"/>
          <w14:textFill>
            <w14:solidFill>
              <w14:schemeClr w14:val="tx1"/>
            </w14:solidFill>
          </w14:textFill>
        </w:rPr>
        <w:t>。依托京东智慧园、京东云华东数据中心等大数据优势，建设京东（宿迁）智能制造产业园，推动京东集团建设以数字化产业研究为主要方向的京东实验室，重点发展工业软件、工业机器人和智能装备，抢滩布局战略性新兴产业。以京东云华东数据中心二期和宿迁燕园云图大数据中心为依托，招引更多5G龙头企业和科研院所在宿迁建设研发中心、生产中心或运营中心，实现大数据产业集聚区、技术创新先导区。</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三、打造卓越产业链条</w:t>
      </w:r>
    </w:p>
    <w:p>
      <w:pPr>
        <w:spacing w:line="580" w:lineRule="exact"/>
        <w:ind w:firstLine="643" w:firstLineChars="200"/>
        <w:rPr>
          <w:color w:val="000000" w:themeColor="text1"/>
          <w14:textFill>
            <w14:solidFill>
              <w14:schemeClr w14:val="tx1"/>
            </w14:solidFill>
          </w14:textFill>
        </w:rPr>
      </w:pPr>
      <w:r>
        <w:rPr>
          <w:rFonts w:hint="eastAsia"/>
          <w:b/>
          <w:color w:val="000000" w:themeColor="text1"/>
          <w:sz w:val="32"/>
          <w:szCs w:val="32"/>
          <w14:textFill>
            <w14:solidFill>
              <w14:schemeClr w14:val="tx1"/>
            </w14:solidFill>
          </w14:textFill>
        </w:rPr>
        <w:t>一是优选重点产业链条。</w:t>
      </w:r>
      <w:r>
        <w:rPr>
          <w:rFonts w:hint="eastAsia"/>
          <w:color w:val="000000" w:themeColor="text1"/>
          <w:sz w:val="32"/>
          <w:szCs w:val="32"/>
          <w14:textFill>
            <w14:solidFill>
              <w14:schemeClr w14:val="tx1"/>
            </w14:solidFill>
          </w14:textFill>
        </w:rPr>
        <w:t>围绕全市“6+3+X”制造业产业体系，聚焦关键领域，实施重点产业链产业培育行动，做大做强做优化学纤维、纺织服装、晶硅光伏、动力电池、半固态成形制造、汽车及零部件、激光装备、智能家电、酿造（酒）、食品加工、畜禽和水产品精深加工、高端家居、绿色建材、膜材料、有机新材料、功能玻璃材料、集成电路、电子元器件、生物医药、大数据+等20条产业链，落实市领导挂钩联系产业链制度和“十个一”工作推进机制，推动形成布局合理、差异竞争、功能协调的产业生态，实现价值攀升，推动形成比较优势和区域竞争力。</w:t>
      </w:r>
    </w:p>
    <w:p>
      <w:pPr>
        <w:spacing w:before="78" w:beforeLines="25" w:line="580" w:lineRule="exact"/>
        <w:jc w:val="center"/>
        <w:rPr>
          <w:rFonts w:eastAsia="方正黑体_GBK"/>
          <w:color w:val="000000" w:themeColor="text1"/>
          <w:sz w:val="28"/>
          <w:szCs w:val="28"/>
          <w14:textFill>
            <w14:solidFill>
              <w14:schemeClr w14:val="tx1"/>
            </w14:solidFill>
          </w14:textFill>
        </w:rPr>
      </w:pPr>
      <w:r>
        <w:rPr>
          <w:rFonts w:hint="eastAsia" w:eastAsia="方正黑体_GBK"/>
          <w:color w:val="000000" w:themeColor="text1"/>
          <w:sz w:val="28"/>
          <w:szCs w:val="28"/>
          <w14:textFill>
            <w14:solidFill>
              <w14:schemeClr w14:val="tx1"/>
            </w14:solidFill>
          </w14:textFill>
        </w:rPr>
        <w:t>“十四五”时期宿迁重点打造的20条产业链（表十一）</w:t>
      </w:r>
    </w:p>
    <w:tbl>
      <w:tblPr>
        <w:tblStyle w:val="25"/>
        <w:tblW w:w="8599" w:type="dxa"/>
        <w:jc w:val="center"/>
        <w:tblLayout w:type="fixed"/>
        <w:tblCellMar>
          <w:top w:w="0" w:type="dxa"/>
          <w:left w:w="108" w:type="dxa"/>
          <w:bottom w:w="0" w:type="dxa"/>
          <w:right w:w="108" w:type="dxa"/>
        </w:tblCellMar>
      </w:tblPr>
      <w:tblGrid>
        <w:gridCol w:w="655"/>
        <w:gridCol w:w="1126"/>
        <w:gridCol w:w="1302"/>
        <w:gridCol w:w="593"/>
        <w:gridCol w:w="1476"/>
        <w:gridCol w:w="1163"/>
        <w:gridCol w:w="1142"/>
        <w:gridCol w:w="1142"/>
      </w:tblGrid>
      <w:tr>
        <w:tblPrEx>
          <w:tblCellMar>
            <w:top w:w="0" w:type="dxa"/>
            <w:left w:w="108" w:type="dxa"/>
            <w:bottom w:w="0" w:type="dxa"/>
            <w:right w:w="108" w:type="dxa"/>
          </w:tblCellMar>
        </w:tblPrEx>
        <w:trPr>
          <w:trHeight w:val="545" w:hRule="atLeast"/>
          <w:tblHeader/>
          <w:jc w:val="center"/>
        </w:trPr>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20" w:lineRule="exact"/>
              <w:jc w:val="center"/>
              <w:rPr>
                <w:rFonts w:eastAsia="方正黑体_GBK" w:cs="宋体"/>
                <w:color w:val="000000" w:themeColor="text1"/>
                <w:kern w:val="0"/>
                <w:sz w:val="18"/>
                <w:szCs w:val="18"/>
                <w14:textFill>
                  <w14:solidFill>
                    <w14:schemeClr w14:val="tx1"/>
                  </w14:solidFill>
                </w14:textFill>
              </w:rPr>
            </w:pPr>
            <w:r>
              <w:rPr>
                <w:rFonts w:hint="eastAsia" w:eastAsia="方正黑体_GBK" w:cs="宋体"/>
                <w:color w:val="000000" w:themeColor="text1"/>
                <w:kern w:val="0"/>
                <w:sz w:val="18"/>
                <w:szCs w:val="18"/>
                <w14:textFill>
                  <w14:solidFill>
                    <w14:schemeClr w14:val="tx1"/>
                  </w14:solidFill>
                </w14:textFill>
              </w:rPr>
              <w:t>产业大类</w:t>
            </w:r>
          </w:p>
        </w:tc>
        <w:tc>
          <w:tcPr>
            <w:tcW w:w="1126" w:type="dxa"/>
            <w:tcBorders>
              <w:top w:val="single" w:color="auto" w:sz="4" w:space="0"/>
              <w:left w:val="nil"/>
              <w:bottom w:val="single" w:color="auto" w:sz="4" w:space="0"/>
              <w:right w:val="single" w:color="auto" w:sz="4" w:space="0"/>
            </w:tcBorders>
            <w:shd w:val="clear" w:color="auto" w:fill="auto"/>
            <w:vAlign w:val="center"/>
          </w:tcPr>
          <w:p>
            <w:pPr>
              <w:widowControl/>
              <w:spacing w:line="320" w:lineRule="exact"/>
              <w:jc w:val="center"/>
              <w:rPr>
                <w:rFonts w:eastAsia="方正黑体_GBK" w:cs="宋体"/>
                <w:color w:val="000000" w:themeColor="text1"/>
                <w:kern w:val="0"/>
                <w:sz w:val="18"/>
                <w:szCs w:val="18"/>
                <w14:textFill>
                  <w14:solidFill>
                    <w14:schemeClr w14:val="tx1"/>
                  </w14:solidFill>
                </w14:textFill>
              </w:rPr>
            </w:pPr>
            <w:r>
              <w:rPr>
                <w:rFonts w:hint="eastAsia" w:eastAsia="方正黑体_GBK" w:cs="宋体"/>
                <w:color w:val="000000" w:themeColor="text1"/>
                <w:kern w:val="0"/>
                <w:sz w:val="18"/>
                <w:szCs w:val="18"/>
                <w14:textFill>
                  <w14:solidFill>
                    <w14:schemeClr w14:val="tx1"/>
                  </w14:solidFill>
                </w14:textFill>
              </w:rPr>
              <w:t>产业分类</w:t>
            </w:r>
          </w:p>
        </w:tc>
        <w:tc>
          <w:tcPr>
            <w:tcW w:w="1302" w:type="dxa"/>
            <w:tcBorders>
              <w:top w:val="single" w:color="auto" w:sz="4" w:space="0"/>
              <w:left w:val="nil"/>
              <w:bottom w:val="single" w:color="auto" w:sz="4" w:space="0"/>
              <w:right w:val="single" w:color="auto" w:sz="4" w:space="0"/>
            </w:tcBorders>
            <w:shd w:val="clear" w:color="auto" w:fill="auto"/>
            <w:vAlign w:val="center"/>
          </w:tcPr>
          <w:p>
            <w:pPr>
              <w:widowControl/>
              <w:spacing w:line="320" w:lineRule="exact"/>
              <w:jc w:val="center"/>
              <w:rPr>
                <w:rFonts w:eastAsia="方正黑体_GBK" w:cs="宋体"/>
                <w:color w:val="000000" w:themeColor="text1"/>
                <w:kern w:val="0"/>
                <w:sz w:val="18"/>
                <w:szCs w:val="18"/>
                <w14:textFill>
                  <w14:solidFill>
                    <w14:schemeClr w14:val="tx1"/>
                  </w14:solidFill>
                </w14:textFill>
              </w:rPr>
            </w:pPr>
            <w:r>
              <w:rPr>
                <w:rFonts w:hint="eastAsia" w:eastAsia="方正黑体_GBK" w:cs="宋体"/>
                <w:color w:val="000000" w:themeColor="text1"/>
                <w:kern w:val="0"/>
                <w:sz w:val="18"/>
                <w:szCs w:val="18"/>
                <w14:textFill>
                  <w14:solidFill>
                    <w14:schemeClr w14:val="tx1"/>
                  </w14:solidFill>
                </w14:textFill>
              </w:rPr>
              <w:t>细分产业</w:t>
            </w:r>
          </w:p>
        </w:tc>
        <w:tc>
          <w:tcPr>
            <w:tcW w:w="593" w:type="dxa"/>
            <w:tcBorders>
              <w:top w:val="single" w:color="auto" w:sz="4" w:space="0"/>
              <w:left w:val="nil"/>
              <w:bottom w:val="single" w:color="auto" w:sz="4" w:space="0"/>
              <w:right w:val="single" w:color="auto" w:sz="4" w:space="0"/>
            </w:tcBorders>
            <w:shd w:val="clear" w:color="auto" w:fill="auto"/>
            <w:vAlign w:val="center"/>
          </w:tcPr>
          <w:p>
            <w:pPr>
              <w:widowControl/>
              <w:spacing w:line="320" w:lineRule="exact"/>
              <w:jc w:val="center"/>
              <w:rPr>
                <w:rFonts w:eastAsia="方正黑体_GBK" w:cs="宋体"/>
                <w:color w:val="000000" w:themeColor="text1"/>
                <w:kern w:val="0"/>
                <w:sz w:val="18"/>
                <w:szCs w:val="18"/>
                <w14:textFill>
                  <w14:solidFill>
                    <w14:schemeClr w14:val="tx1"/>
                  </w14:solidFill>
                </w14:textFill>
              </w:rPr>
            </w:pPr>
            <w:r>
              <w:rPr>
                <w:rFonts w:hint="eastAsia" w:eastAsia="方正黑体_GBK" w:cs="宋体"/>
                <w:color w:val="000000" w:themeColor="text1"/>
                <w:kern w:val="0"/>
                <w:sz w:val="18"/>
                <w:szCs w:val="18"/>
                <w14:textFill>
                  <w14:solidFill>
                    <w14:schemeClr w14:val="tx1"/>
                  </w14:solidFill>
                </w14:textFill>
              </w:rPr>
              <w:t>序号</w:t>
            </w:r>
          </w:p>
        </w:tc>
        <w:tc>
          <w:tcPr>
            <w:tcW w:w="1476" w:type="dxa"/>
            <w:tcBorders>
              <w:top w:val="single" w:color="auto" w:sz="4" w:space="0"/>
              <w:left w:val="nil"/>
              <w:bottom w:val="single" w:color="auto" w:sz="4" w:space="0"/>
              <w:right w:val="single" w:color="auto" w:sz="4" w:space="0"/>
            </w:tcBorders>
            <w:shd w:val="clear" w:color="auto" w:fill="auto"/>
            <w:vAlign w:val="center"/>
          </w:tcPr>
          <w:p>
            <w:pPr>
              <w:widowControl/>
              <w:spacing w:line="320" w:lineRule="exact"/>
              <w:jc w:val="center"/>
              <w:rPr>
                <w:rFonts w:eastAsia="方正黑体_GBK" w:cs="宋体"/>
                <w:color w:val="000000" w:themeColor="text1"/>
                <w:kern w:val="0"/>
                <w:sz w:val="18"/>
                <w:szCs w:val="18"/>
                <w14:textFill>
                  <w14:solidFill>
                    <w14:schemeClr w14:val="tx1"/>
                  </w14:solidFill>
                </w14:textFill>
              </w:rPr>
            </w:pPr>
            <w:r>
              <w:rPr>
                <w:rFonts w:hint="eastAsia" w:eastAsia="方正黑体_GBK" w:cs="宋体"/>
                <w:color w:val="000000" w:themeColor="text1"/>
                <w:kern w:val="0"/>
                <w:sz w:val="18"/>
                <w:szCs w:val="18"/>
                <w14:textFill>
                  <w14:solidFill>
                    <w14:schemeClr w14:val="tx1"/>
                  </w14:solidFill>
                </w14:textFill>
              </w:rPr>
              <w:t>重点产业链</w:t>
            </w:r>
          </w:p>
        </w:tc>
        <w:tc>
          <w:tcPr>
            <w:tcW w:w="1163" w:type="dxa"/>
            <w:tcBorders>
              <w:top w:val="single" w:color="auto" w:sz="4" w:space="0"/>
              <w:left w:val="nil"/>
              <w:bottom w:val="single" w:color="auto" w:sz="4" w:space="0"/>
              <w:right w:val="single" w:color="auto" w:sz="4" w:space="0"/>
            </w:tcBorders>
            <w:shd w:val="clear" w:color="auto" w:fill="auto"/>
            <w:vAlign w:val="center"/>
          </w:tcPr>
          <w:p>
            <w:pPr>
              <w:widowControl/>
              <w:spacing w:line="320" w:lineRule="exact"/>
              <w:jc w:val="center"/>
              <w:rPr>
                <w:rFonts w:eastAsia="方正黑体_GBK"/>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2020</w:t>
            </w:r>
            <w:r>
              <w:rPr>
                <w:rFonts w:hint="eastAsia" w:eastAsia="方正黑体_GBK"/>
                <w:color w:val="000000" w:themeColor="text1"/>
                <w:kern w:val="0"/>
                <w:sz w:val="18"/>
                <w:szCs w:val="18"/>
                <w14:textFill>
                  <w14:solidFill>
                    <w14:schemeClr w14:val="tx1"/>
                  </w14:solidFill>
                </w14:textFill>
              </w:rPr>
              <w:t>年</w:t>
            </w:r>
          </w:p>
          <w:p>
            <w:pPr>
              <w:widowControl/>
              <w:spacing w:line="320" w:lineRule="exact"/>
              <w:jc w:val="center"/>
              <w:rPr>
                <w:rFonts w:eastAsia="宋体"/>
                <w:color w:val="000000" w:themeColor="text1"/>
                <w:kern w:val="0"/>
                <w:sz w:val="18"/>
                <w:szCs w:val="18"/>
                <w14:textFill>
                  <w14:solidFill>
                    <w14:schemeClr w14:val="tx1"/>
                  </w14:solidFill>
                </w14:textFill>
              </w:rPr>
            </w:pPr>
            <w:r>
              <w:rPr>
                <w:rFonts w:hint="eastAsia" w:eastAsia="方正黑体_GBK"/>
                <w:color w:val="000000" w:themeColor="text1"/>
                <w:kern w:val="0"/>
                <w:sz w:val="18"/>
                <w:szCs w:val="18"/>
                <w14:textFill>
                  <w14:solidFill>
                    <w14:schemeClr w14:val="tx1"/>
                  </w14:solidFill>
                </w14:textFill>
              </w:rPr>
              <w:t>产值（亿元）</w:t>
            </w:r>
          </w:p>
        </w:tc>
        <w:tc>
          <w:tcPr>
            <w:tcW w:w="1142" w:type="dxa"/>
            <w:tcBorders>
              <w:top w:val="single" w:color="auto" w:sz="4" w:space="0"/>
              <w:left w:val="nil"/>
              <w:bottom w:val="single" w:color="auto" w:sz="4" w:space="0"/>
              <w:right w:val="single" w:color="auto" w:sz="4" w:space="0"/>
            </w:tcBorders>
            <w:shd w:val="clear" w:color="auto" w:fill="auto"/>
            <w:vAlign w:val="center"/>
          </w:tcPr>
          <w:p>
            <w:pPr>
              <w:widowControl/>
              <w:spacing w:line="320" w:lineRule="exact"/>
              <w:jc w:val="center"/>
              <w:rPr>
                <w:rFonts w:eastAsia="方正黑体_GBK"/>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2023</w:t>
            </w:r>
            <w:r>
              <w:rPr>
                <w:rFonts w:hint="eastAsia" w:eastAsia="方正黑体_GBK"/>
                <w:color w:val="000000" w:themeColor="text1"/>
                <w:kern w:val="0"/>
                <w:sz w:val="18"/>
                <w:szCs w:val="18"/>
                <w14:textFill>
                  <w14:solidFill>
                    <w14:schemeClr w14:val="tx1"/>
                  </w14:solidFill>
                </w14:textFill>
              </w:rPr>
              <w:t>年</w:t>
            </w:r>
          </w:p>
          <w:p>
            <w:pPr>
              <w:widowControl/>
              <w:spacing w:line="320" w:lineRule="exact"/>
              <w:jc w:val="center"/>
              <w:rPr>
                <w:rFonts w:eastAsia="宋体"/>
                <w:color w:val="000000" w:themeColor="text1"/>
                <w:kern w:val="0"/>
                <w:sz w:val="18"/>
                <w:szCs w:val="18"/>
                <w14:textFill>
                  <w14:solidFill>
                    <w14:schemeClr w14:val="tx1"/>
                  </w14:solidFill>
                </w14:textFill>
              </w:rPr>
            </w:pPr>
            <w:r>
              <w:rPr>
                <w:rFonts w:hint="eastAsia" w:eastAsia="方正黑体_GBK"/>
                <w:color w:val="000000" w:themeColor="text1"/>
                <w:kern w:val="0"/>
                <w:sz w:val="18"/>
                <w:szCs w:val="18"/>
                <w14:textFill>
                  <w14:solidFill>
                    <w14:schemeClr w14:val="tx1"/>
                  </w14:solidFill>
                </w14:textFill>
              </w:rPr>
              <w:t>目标（亿元）</w:t>
            </w:r>
          </w:p>
        </w:tc>
        <w:tc>
          <w:tcPr>
            <w:tcW w:w="1142" w:type="dxa"/>
            <w:tcBorders>
              <w:top w:val="single" w:color="auto" w:sz="4" w:space="0"/>
              <w:left w:val="nil"/>
              <w:bottom w:val="single" w:color="auto" w:sz="4" w:space="0"/>
              <w:right w:val="single" w:color="auto" w:sz="4" w:space="0"/>
            </w:tcBorders>
            <w:shd w:val="clear" w:color="auto" w:fill="auto"/>
            <w:vAlign w:val="center"/>
          </w:tcPr>
          <w:p>
            <w:pPr>
              <w:widowControl/>
              <w:spacing w:line="320" w:lineRule="exact"/>
              <w:jc w:val="center"/>
              <w:rPr>
                <w:rFonts w:eastAsia="方正黑体_GBK"/>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2025</w:t>
            </w:r>
            <w:r>
              <w:rPr>
                <w:rFonts w:hint="eastAsia" w:eastAsia="方正黑体_GBK"/>
                <w:color w:val="000000" w:themeColor="text1"/>
                <w:kern w:val="0"/>
                <w:sz w:val="18"/>
                <w:szCs w:val="18"/>
                <w14:textFill>
                  <w14:solidFill>
                    <w14:schemeClr w14:val="tx1"/>
                  </w14:solidFill>
                </w14:textFill>
              </w:rPr>
              <w:t>年</w:t>
            </w:r>
          </w:p>
          <w:p>
            <w:pPr>
              <w:widowControl/>
              <w:spacing w:line="320" w:lineRule="exact"/>
              <w:jc w:val="center"/>
              <w:rPr>
                <w:rFonts w:eastAsia="宋体"/>
                <w:color w:val="000000" w:themeColor="text1"/>
                <w:kern w:val="0"/>
                <w:sz w:val="18"/>
                <w:szCs w:val="18"/>
                <w14:textFill>
                  <w14:solidFill>
                    <w14:schemeClr w14:val="tx1"/>
                  </w14:solidFill>
                </w14:textFill>
              </w:rPr>
            </w:pPr>
            <w:r>
              <w:rPr>
                <w:rFonts w:hint="eastAsia" w:eastAsia="方正黑体_GBK"/>
                <w:color w:val="000000" w:themeColor="text1"/>
                <w:kern w:val="0"/>
                <w:sz w:val="18"/>
                <w:szCs w:val="18"/>
                <w14:textFill>
                  <w14:solidFill>
                    <w14:schemeClr w14:val="tx1"/>
                  </w14:solidFill>
                </w14:textFill>
              </w:rPr>
              <w:t>目标（亿元）</w:t>
            </w:r>
          </w:p>
        </w:tc>
      </w:tr>
      <w:tr>
        <w:tblPrEx>
          <w:tblCellMar>
            <w:top w:w="0" w:type="dxa"/>
            <w:left w:w="108" w:type="dxa"/>
            <w:bottom w:w="0" w:type="dxa"/>
            <w:right w:w="108" w:type="dxa"/>
          </w:tblCellMar>
        </w:tblPrEx>
        <w:trPr>
          <w:trHeight w:val="454" w:hRule="atLeast"/>
          <w:jc w:val="center"/>
        </w:trPr>
        <w:tc>
          <w:tcPr>
            <w:tcW w:w="65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主导产业</w:t>
            </w:r>
          </w:p>
        </w:tc>
        <w:tc>
          <w:tcPr>
            <w:tcW w:w="112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高端纺织</w:t>
            </w:r>
          </w:p>
        </w:tc>
        <w:tc>
          <w:tcPr>
            <w:tcW w:w="130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化学纤维</w:t>
            </w:r>
          </w:p>
        </w:tc>
        <w:tc>
          <w:tcPr>
            <w:tcW w:w="5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w:t>
            </w:r>
          </w:p>
        </w:tc>
        <w:tc>
          <w:tcPr>
            <w:tcW w:w="147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化学纤维</w:t>
            </w:r>
          </w:p>
        </w:tc>
        <w:tc>
          <w:tcPr>
            <w:tcW w:w="116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102.59</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600</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1000</w:t>
            </w:r>
          </w:p>
        </w:tc>
      </w:tr>
      <w:tr>
        <w:tblPrEx>
          <w:tblCellMar>
            <w:top w:w="0" w:type="dxa"/>
            <w:left w:w="108" w:type="dxa"/>
            <w:bottom w:w="0" w:type="dxa"/>
            <w:right w:w="108" w:type="dxa"/>
          </w:tblCellMar>
        </w:tblPrEx>
        <w:trPr>
          <w:trHeight w:val="454" w:hRule="atLeast"/>
          <w:jc w:val="center"/>
        </w:trPr>
        <w:tc>
          <w:tcPr>
            <w:tcW w:w="65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12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30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纺织服装</w:t>
            </w:r>
          </w:p>
        </w:tc>
        <w:tc>
          <w:tcPr>
            <w:tcW w:w="5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w:t>
            </w:r>
          </w:p>
        </w:tc>
        <w:tc>
          <w:tcPr>
            <w:tcW w:w="147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纺织服装</w:t>
            </w:r>
          </w:p>
        </w:tc>
        <w:tc>
          <w:tcPr>
            <w:tcW w:w="116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333.95</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400</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800</w:t>
            </w:r>
          </w:p>
        </w:tc>
      </w:tr>
      <w:tr>
        <w:tblPrEx>
          <w:tblCellMar>
            <w:top w:w="0" w:type="dxa"/>
            <w:left w:w="108" w:type="dxa"/>
            <w:bottom w:w="0" w:type="dxa"/>
            <w:right w:w="108" w:type="dxa"/>
          </w:tblCellMar>
        </w:tblPrEx>
        <w:trPr>
          <w:trHeight w:val="454" w:hRule="atLeast"/>
          <w:jc w:val="center"/>
        </w:trPr>
        <w:tc>
          <w:tcPr>
            <w:tcW w:w="65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12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光伏新能源</w:t>
            </w:r>
          </w:p>
        </w:tc>
        <w:tc>
          <w:tcPr>
            <w:tcW w:w="130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光伏新能源</w:t>
            </w:r>
          </w:p>
        </w:tc>
        <w:tc>
          <w:tcPr>
            <w:tcW w:w="5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w:t>
            </w:r>
          </w:p>
        </w:tc>
        <w:tc>
          <w:tcPr>
            <w:tcW w:w="147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晶硅光伏</w:t>
            </w:r>
          </w:p>
        </w:tc>
        <w:tc>
          <w:tcPr>
            <w:tcW w:w="116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117.61</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850</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1000</w:t>
            </w:r>
          </w:p>
        </w:tc>
      </w:tr>
      <w:tr>
        <w:tblPrEx>
          <w:tblCellMar>
            <w:top w:w="0" w:type="dxa"/>
            <w:left w:w="108" w:type="dxa"/>
            <w:bottom w:w="0" w:type="dxa"/>
            <w:right w:w="108" w:type="dxa"/>
          </w:tblCellMar>
        </w:tblPrEx>
        <w:trPr>
          <w:trHeight w:val="454" w:hRule="atLeast"/>
          <w:jc w:val="center"/>
        </w:trPr>
        <w:tc>
          <w:tcPr>
            <w:tcW w:w="65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12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机电装备</w:t>
            </w:r>
          </w:p>
        </w:tc>
        <w:tc>
          <w:tcPr>
            <w:tcW w:w="130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新型电池</w:t>
            </w:r>
          </w:p>
        </w:tc>
        <w:tc>
          <w:tcPr>
            <w:tcW w:w="5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w:t>
            </w:r>
          </w:p>
        </w:tc>
        <w:tc>
          <w:tcPr>
            <w:tcW w:w="147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动力电池</w:t>
            </w:r>
          </w:p>
        </w:tc>
        <w:tc>
          <w:tcPr>
            <w:tcW w:w="116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153.14</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240</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350</w:t>
            </w:r>
          </w:p>
        </w:tc>
      </w:tr>
      <w:tr>
        <w:tblPrEx>
          <w:tblCellMar>
            <w:top w:w="0" w:type="dxa"/>
            <w:left w:w="108" w:type="dxa"/>
            <w:bottom w:w="0" w:type="dxa"/>
            <w:right w:w="108" w:type="dxa"/>
          </w:tblCellMar>
        </w:tblPrEx>
        <w:trPr>
          <w:trHeight w:val="454" w:hRule="atLeast"/>
          <w:jc w:val="center"/>
        </w:trPr>
        <w:tc>
          <w:tcPr>
            <w:tcW w:w="65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12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30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装备制造</w:t>
            </w:r>
          </w:p>
        </w:tc>
        <w:tc>
          <w:tcPr>
            <w:tcW w:w="5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5</w:t>
            </w:r>
          </w:p>
        </w:tc>
        <w:tc>
          <w:tcPr>
            <w:tcW w:w="147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半固态成形制造</w:t>
            </w:r>
          </w:p>
        </w:tc>
        <w:tc>
          <w:tcPr>
            <w:tcW w:w="116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25.56</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50</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100</w:t>
            </w:r>
          </w:p>
        </w:tc>
      </w:tr>
      <w:tr>
        <w:tblPrEx>
          <w:tblCellMar>
            <w:top w:w="0" w:type="dxa"/>
            <w:left w:w="108" w:type="dxa"/>
            <w:bottom w:w="0" w:type="dxa"/>
            <w:right w:w="108" w:type="dxa"/>
          </w:tblCellMar>
        </w:tblPrEx>
        <w:trPr>
          <w:trHeight w:val="454" w:hRule="atLeast"/>
          <w:jc w:val="center"/>
        </w:trPr>
        <w:tc>
          <w:tcPr>
            <w:tcW w:w="65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12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30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汽车及零部件</w:t>
            </w:r>
          </w:p>
        </w:tc>
        <w:tc>
          <w:tcPr>
            <w:tcW w:w="5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w:t>
            </w:r>
          </w:p>
        </w:tc>
        <w:tc>
          <w:tcPr>
            <w:tcW w:w="147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汽车及零部件</w:t>
            </w:r>
          </w:p>
        </w:tc>
        <w:tc>
          <w:tcPr>
            <w:tcW w:w="116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53.72</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100</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150</w:t>
            </w:r>
          </w:p>
        </w:tc>
      </w:tr>
      <w:tr>
        <w:tblPrEx>
          <w:tblCellMar>
            <w:top w:w="0" w:type="dxa"/>
            <w:left w:w="108" w:type="dxa"/>
            <w:bottom w:w="0" w:type="dxa"/>
            <w:right w:w="108" w:type="dxa"/>
          </w:tblCellMar>
        </w:tblPrEx>
        <w:trPr>
          <w:trHeight w:val="454" w:hRule="atLeast"/>
          <w:jc w:val="center"/>
        </w:trPr>
        <w:tc>
          <w:tcPr>
            <w:tcW w:w="65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12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30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激光装备</w:t>
            </w:r>
          </w:p>
        </w:tc>
        <w:tc>
          <w:tcPr>
            <w:tcW w:w="5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7</w:t>
            </w:r>
          </w:p>
        </w:tc>
        <w:tc>
          <w:tcPr>
            <w:tcW w:w="147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激光装备</w:t>
            </w:r>
          </w:p>
        </w:tc>
        <w:tc>
          <w:tcPr>
            <w:tcW w:w="116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11.15</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60</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100</w:t>
            </w:r>
          </w:p>
        </w:tc>
      </w:tr>
      <w:tr>
        <w:tblPrEx>
          <w:tblCellMar>
            <w:top w:w="0" w:type="dxa"/>
            <w:left w:w="108" w:type="dxa"/>
            <w:bottom w:w="0" w:type="dxa"/>
            <w:right w:w="108" w:type="dxa"/>
          </w:tblCellMar>
        </w:tblPrEx>
        <w:trPr>
          <w:trHeight w:val="454" w:hRule="atLeast"/>
          <w:jc w:val="center"/>
        </w:trPr>
        <w:tc>
          <w:tcPr>
            <w:tcW w:w="65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12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30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智能家电</w:t>
            </w:r>
          </w:p>
        </w:tc>
        <w:tc>
          <w:tcPr>
            <w:tcW w:w="5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8</w:t>
            </w:r>
          </w:p>
        </w:tc>
        <w:tc>
          <w:tcPr>
            <w:tcW w:w="147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智能家电</w:t>
            </w:r>
          </w:p>
        </w:tc>
        <w:tc>
          <w:tcPr>
            <w:tcW w:w="116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56.91</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100</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200</w:t>
            </w:r>
          </w:p>
        </w:tc>
      </w:tr>
      <w:tr>
        <w:tblPrEx>
          <w:tblCellMar>
            <w:top w:w="0" w:type="dxa"/>
            <w:left w:w="108" w:type="dxa"/>
            <w:bottom w:w="0" w:type="dxa"/>
            <w:right w:w="108" w:type="dxa"/>
          </w:tblCellMar>
        </w:tblPrEx>
        <w:trPr>
          <w:trHeight w:val="454" w:hRule="atLeast"/>
          <w:jc w:val="center"/>
        </w:trPr>
        <w:tc>
          <w:tcPr>
            <w:tcW w:w="65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12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绿色食品</w:t>
            </w:r>
          </w:p>
        </w:tc>
        <w:tc>
          <w:tcPr>
            <w:tcW w:w="130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酿造（酒）</w:t>
            </w:r>
          </w:p>
        </w:tc>
        <w:tc>
          <w:tcPr>
            <w:tcW w:w="5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9</w:t>
            </w:r>
          </w:p>
        </w:tc>
        <w:tc>
          <w:tcPr>
            <w:tcW w:w="147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酿造（酒）</w:t>
            </w:r>
          </w:p>
        </w:tc>
        <w:tc>
          <w:tcPr>
            <w:tcW w:w="116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312.27</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400</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600</w:t>
            </w:r>
          </w:p>
        </w:tc>
      </w:tr>
      <w:tr>
        <w:tblPrEx>
          <w:tblCellMar>
            <w:top w:w="0" w:type="dxa"/>
            <w:left w:w="108" w:type="dxa"/>
            <w:bottom w:w="0" w:type="dxa"/>
            <w:right w:w="108" w:type="dxa"/>
          </w:tblCellMar>
        </w:tblPrEx>
        <w:trPr>
          <w:trHeight w:val="454" w:hRule="atLeast"/>
          <w:jc w:val="center"/>
        </w:trPr>
        <w:tc>
          <w:tcPr>
            <w:tcW w:w="65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12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30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食品加工</w:t>
            </w:r>
          </w:p>
        </w:tc>
        <w:tc>
          <w:tcPr>
            <w:tcW w:w="5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10</w:t>
            </w:r>
          </w:p>
        </w:tc>
        <w:tc>
          <w:tcPr>
            <w:tcW w:w="147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食品加工</w:t>
            </w:r>
          </w:p>
        </w:tc>
        <w:tc>
          <w:tcPr>
            <w:tcW w:w="116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106.99</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150</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200</w:t>
            </w:r>
          </w:p>
        </w:tc>
      </w:tr>
      <w:tr>
        <w:tblPrEx>
          <w:tblCellMar>
            <w:top w:w="0" w:type="dxa"/>
            <w:left w:w="108" w:type="dxa"/>
            <w:bottom w:w="0" w:type="dxa"/>
            <w:right w:w="108" w:type="dxa"/>
          </w:tblCellMar>
        </w:tblPrEx>
        <w:trPr>
          <w:trHeight w:val="454" w:hRule="atLeast"/>
          <w:jc w:val="center"/>
        </w:trPr>
        <w:tc>
          <w:tcPr>
            <w:tcW w:w="65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12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30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spacing w:val="-16"/>
                <w:kern w:val="0"/>
                <w:sz w:val="18"/>
                <w:szCs w:val="18"/>
                <w14:textFill>
                  <w14:solidFill>
                    <w14:schemeClr w14:val="tx1"/>
                  </w14:solidFill>
                </w14:textFill>
              </w:rPr>
            </w:pPr>
            <w:r>
              <w:rPr>
                <w:rFonts w:hint="eastAsia" w:cs="宋体"/>
                <w:color w:val="000000" w:themeColor="text1"/>
                <w:spacing w:val="-16"/>
                <w:kern w:val="0"/>
                <w:sz w:val="18"/>
                <w:szCs w:val="18"/>
                <w14:textFill>
                  <w14:solidFill>
                    <w14:schemeClr w14:val="tx1"/>
                  </w14:solidFill>
                </w14:textFill>
              </w:rPr>
              <w:t>畜禽和水产品精深加工</w:t>
            </w:r>
          </w:p>
        </w:tc>
        <w:tc>
          <w:tcPr>
            <w:tcW w:w="5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11</w:t>
            </w:r>
          </w:p>
        </w:tc>
        <w:tc>
          <w:tcPr>
            <w:tcW w:w="147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spacing w:val="-14"/>
                <w:kern w:val="0"/>
                <w:sz w:val="18"/>
                <w:szCs w:val="18"/>
                <w14:textFill>
                  <w14:solidFill>
                    <w14:schemeClr w14:val="tx1"/>
                  </w14:solidFill>
                </w14:textFill>
              </w:rPr>
            </w:pPr>
            <w:r>
              <w:rPr>
                <w:rFonts w:hint="eastAsia" w:cs="宋体"/>
                <w:color w:val="000000" w:themeColor="text1"/>
                <w:spacing w:val="-14"/>
                <w:kern w:val="0"/>
                <w:sz w:val="18"/>
                <w:szCs w:val="18"/>
                <w14:textFill>
                  <w14:solidFill>
                    <w14:schemeClr w14:val="tx1"/>
                  </w14:solidFill>
                </w14:textFill>
              </w:rPr>
              <w:t>畜禽和水产品精深加工</w:t>
            </w:r>
          </w:p>
        </w:tc>
        <w:tc>
          <w:tcPr>
            <w:tcW w:w="116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67.78</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150</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200</w:t>
            </w:r>
          </w:p>
        </w:tc>
      </w:tr>
      <w:tr>
        <w:tblPrEx>
          <w:tblCellMar>
            <w:top w:w="0" w:type="dxa"/>
            <w:left w:w="108" w:type="dxa"/>
            <w:bottom w:w="0" w:type="dxa"/>
            <w:right w:w="108" w:type="dxa"/>
          </w:tblCellMar>
        </w:tblPrEx>
        <w:trPr>
          <w:trHeight w:val="454" w:hRule="atLeast"/>
          <w:jc w:val="center"/>
        </w:trPr>
        <w:tc>
          <w:tcPr>
            <w:tcW w:w="65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12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绿色家居</w:t>
            </w:r>
          </w:p>
        </w:tc>
        <w:tc>
          <w:tcPr>
            <w:tcW w:w="130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高端家居</w:t>
            </w:r>
          </w:p>
        </w:tc>
        <w:tc>
          <w:tcPr>
            <w:tcW w:w="5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12</w:t>
            </w:r>
          </w:p>
        </w:tc>
        <w:tc>
          <w:tcPr>
            <w:tcW w:w="147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高端家居</w:t>
            </w:r>
          </w:p>
        </w:tc>
        <w:tc>
          <w:tcPr>
            <w:tcW w:w="116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252.01</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500</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650</w:t>
            </w:r>
          </w:p>
        </w:tc>
      </w:tr>
      <w:tr>
        <w:tblPrEx>
          <w:tblCellMar>
            <w:top w:w="0" w:type="dxa"/>
            <w:left w:w="108" w:type="dxa"/>
            <w:bottom w:w="0" w:type="dxa"/>
            <w:right w:w="108" w:type="dxa"/>
          </w:tblCellMar>
        </w:tblPrEx>
        <w:trPr>
          <w:trHeight w:val="454" w:hRule="atLeast"/>
          <w:jc w:val="center"/>
        </w:trPr>
        <w:tc>
          <w:tcPr>
            <w:tcW w:w="65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12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30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绿色建材</w:t>
            </w:r>
          </w:p>
        </w:tc>
        <w:tc>
          <w:tcPr>
            <w:tcW w:w="5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13</w:t>
            </w:r>
          </w:p>
        </w:tc>
        <w:tc>
          <w:tcPr>
            <w:tcW w:w="147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绿色建材</w:t>
            </w:r>
          </w:p>
        </w:tc>
        <w:tc>
          <w:tcPr>
            <w:tcW w:w="116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144.53</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120</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150</w:t>
            </w:r>
          </w:p>
        </w:tc>
      </w:tr>
      <w:tr>
        <w:tblPrEx>
          <w:tblCellMar>
            <w:top w:w="0" w:type="dxa"/>
            <w:left w:w="108" w:type="dxa"/>
            <w:bottom w:w="0" w:type="dxa"/>
            <w:right w:w="108" w:type="dxa"/>
          </w:tblCellMar>
        </w:tblPrEx>
        <w:trPr>
          <w:trHeight w:val="454" w:hRule="atLeast"/>
          <w:jc w:val="center"/>
        </w:trPr>
        <w:tc>
          <w:tcPr>
            <w:tcW w:w="65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12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新材料</w:t>
            </w:r>
          </w:p>
        </w:tc>
        <w:tc>
          <w:tcPr>
            <w:tcW w:w="130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膜材料</w:t>
            </w:r>
          </w:p>
        </w:tc>
        <w:tc>
          <w:tcPr>
            <w:tcW w:w="5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14</w:t>
            </w:r>
          </w:p>
        </w:tc>
        <w:tc>
          <w:tcPr>
            <w:tcW w:w="147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膜材料</w:t>
            </w:r>
          </w:p>
        </w:tc>
        <w:tc>
          <w:tcPr>
            <w:tcW w:w="116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111.88</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200</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350</w:t>
            </w:r>
          </w:p>
        </w:tc>
      </w:tr>
      <w:tr>
        <w:tblPrEx>
          <w:tblCellMar>
            <w:top w:w="0" w:type="dxa"/>
            <w:left w:w="108" w:type="dxa"/>
            <w:bottom w:w="0" w:type="dxa"/>
            <w:right w:w="108" w:type="dxa"/>
          </w:tblCellMar>
        </w:tblPrEx>
        <w:trPr>
          <w:trHeight w:val="454" w:hRule="atLeast"/>
          <w:jc w:val="center"/>
        </w:trPr>
        <w:tc>
          <w:tcPr>
            <w:tcW w:w="65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12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30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有机新材料</w:t>
            </w:r>
          </w:p>
        </w:tc>
        <w:tc>
          <w:tcPr>
            <w:tcW w:w="5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15</w:t>
            </w:r>
          </w:p>
        </w:tc>
        <w:tc>
          <w:tcPr>
            <w:tcW w:w="147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有机新材料</w:t>
            </w:r>
          </w:p>
        </w:tc>
        <w:tc>
          <w:tcPr>
            <w:tcW w:w="116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46.33</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100</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150</w:t>
            </w:r>
          </w:p>
        </w:tc>
      </w:tr>
      <w:tr>
        <w:tblPrEx>
          <w:tblCellMar>
            <w:top w:w="0" w:type="dxa"/>
            <w:left w:w="108" w:type="dxa"/>
            <w:bottom w:w="0" w:type="dxa"/>
            <w:right w:w="108" w:type="dxa"/>
          </w:tblCellMar>
        </w:tblPrEx>
        <w:trPr>
          <w:trHeight w:val="454" w:hRule="atLeast"/>
          <w:jc w:val="center"/>
        </w:trPr>
        <w:tc>
          <w:tcPr>
            <w:tcW w:w="65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12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30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功能玻璃材料</w:t>
            </w:r>
          </w:p>
        </w:tc>
        <w:tc>
          <w:tcPr>
            <w:tcW w:w="5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16</w:t>
            </w:r>
          </w:p>
        </w:tc>
        <w:tc>
          <w:tcPr>
            <w:tcW w:w="147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功能玻璃材料</w:t>
            </w:r>
          </w:p>
        </w:tc>
        <w:tc>
          <w:tcPr>
            <w:tcW w:w="116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37.37</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50</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200</w:t>
            </w:r>
          </w:p>
        </w:tc>
      </w:tr>
      <w:tr>
        <w:tblPrEx>
          <w:tblCellMar>
            <w:top w:w="0" w:type="dxa"/>
            <w:left w:w="108" w:type="dxa"/>
            <w:bottom w:w="0" w:type="dxa"/>
            <w:right w:w="108" w:type="dxa"/>
          </w:tblCellMar>
        </w:tblPrEx>
        <w:trPr>
          <w:trHeight w:val="454" w:hRule="atLeast"/>
          <w:jc w:val="center"/>
        </w:trPr>
        <w:tc>
          <w:tcPr>
            <w:tcW w:w="65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先导产业</w:t>
            </w:r>
          </w:p>
        </w:tc>
        <w:tc>
          <w:tcPr>
            <w:tcW w:w="112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新一代信息技术</w:t>
            </w:r>
          </w:p>
        </w:tc>
        <w:tc>
          <w:tcPr>
            <w:tcW w:w="130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集成电路</w:t>
            </w:r>
          </w:p>
        </w:tc>
        <w:tc>
          <w:tcPr>
            <w:tcW w:w="5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17</w:t>
            </w:r>
          </w:p>
        </w:tc>
        <w:tc>
          <w:tcPr>
            <w:tcW w:w="147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集成电路</w:t>
            </w:r>
          </w:p>
        </w:tc>
        <w:tc>
          <w:tcPr>
            <w:tcW w:w="116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10.79</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100</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150</w:t>
            </w:r>
          </w:p>
        </w:tc>
      </w:tr>
      <w:tr>
        <w:tblPrEx>
          <w:tblCellMar>
            <w:top w:w="0" w:type="dxa"/>
            <w:left w:w="108" w:type="dxa"/>
            <w:bottom w:w="0" w:type="dxa"/>
            <w:right w:w="108" w:type="dxa"/>
          </w:tblCellMar>
        </w:tblPrEx>
        <w:trPr>
          <w:trHeight w:val="454" w:hRule="atLeast"/>
          <w:jc w:val="center"/>
        </w:trPr>
        <w:tc>
          <w:tcPr>
            <w:tcW w:w="65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126"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30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电子元器件</w:t>
            </w:r>
          </w:p>
        </w:tc>
        <w:tc>
          <w:tcPr>
            <w:tcW w:w="5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18</w:t>
            </w:r>
          </w:p>
        </w:tc>
        <w:tc>
          <w:tcPr>
            <w:tcW w:w="147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电子元器件</w:t>
            </w:r>
          </w:p>
        </w:tc>
        <w:tc>
          <w:tcPr>
            <w:tcW w:w="116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207.22</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200</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350</w:t>
            </w:r>
          </w:p>
        </w:tc>
      </w:tr>
      <w:tr>
        <w:tblPrEx>
          <w:tblCellMar>
            <w:top w:w="0" w:type="dxa"/>
            <w:left w:w="108" w:type="dxa"/>
            <w:bottom w:w="0" w:type="dxa"/>
            <w:right w:w="108" w:type="dxa"/>
          </w:tblCellMar>
        </w:tblPrEx>
        <w:trPr>
          <w:trHeight w:val="454" w:hRule="atLeast"/>
          <w:jc w:val="center"/>
        </w:trPr>
        <w:tc>
          <w:tcPr>
            <w:tcW w:w="65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12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生物医药</w:t>
            </w:r>
          </w:p>
        </w:tc>
        <w:tc>
          <w:tcPr>
            <w:tcW w:w="130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生物医药</w:t>
            </w:r>
          </w:p>
        </w:tc>
        <w:tc>
          <w:tcPr>
            <w:tcW w:w="5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19</w:t>
            </w:r>
          </w:p>
        </w:tc>
        <w:tc>
          <w:tcPr>
            <w:tcW w:w="147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生物医药</w:t>
            </w:r>
          </w:p>
        </w:tc>
        <w:tc>
          <w:tcPr>
            <w:tcW w:w="116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36.4</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50</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100</w:t>
            </w:r>
          </w:p>
        </w:tc>
      </w:tr>
      <w:tr>
        <w:tblPrEx>
          <w:tblCellMar>
            <w:top w:w="0" w:type="dxa"/>
            <w:left w:w="108" w:type="dxa"/>
            <w:bottom w:w="0" w:type="dxa"/>
            <w:right w:w="108" w:type="dxa"/>
          </w:tblCellMar>
        </w:tblPrEx>
        <w:trPr>
          <w:trHeight w:val="454" w:hRule="atLeast"/>
          <w:jc w:val="center"/>
        </w:trPr>
        <w:tc>
          <w:tcPr>
            <w:tcW w:w="655" w:type="dxa"/>
            <w:vMerge w:val="continue"/>
            <w:tcBorders>
              <w:top w:val="nil"/>
              <w:left w:val="single" w:color="auto" w:sz="4" w:space="0"/>
              <w:bottom w:val="single" w:color="auto" w:sz="4" w:space="0"/>
              <w:right w:val="single" w:color="auto" w:sz="4" w:space="0"/>
            </w:tcBorders>
            <w:vAlign w:val="center"/>
          </w:tcPr>
          <w:p>
            <w:pPr>
              <w:widowControl/>
              <w:spacing w:line="360" w:lineRule="exact"/>
              <w:jc w:val="left"/>
              <w:rPr>
                <w:rFonts w:cs="宋体"/>
                <w:color w:val="000000" w:themeColor="text1"/>
                <w:kern w:val="0"/>
                <w:sz w:val="18"/>
                <w:szCs w:val="18"/>
                <w14:textFill>
                  <w14:solidFill>
                    <w14:schemeClr w14:val="tx1"/>
                  </w14:solidFill>
                </w14:textFill>
              </w:rPr>
            </w:pPr>
          </w:p>
        </w:tc>
        <w:tc>
          <w:tcPr>
            <w:tcW w:w="112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数字经济</w:t>
            </w:r>
          </w:p>
        </w:tc>
        <w:tc>
          <w:tcPr>
            <w:tcW w:w="130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大数据+</w:t>
            </w:r>
          </w:p>
        </w:tc>
        <w:tc>
          <w:tcPr>
            <w:tcW w:w="59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20</w:t>
            </w:r>
          </w:p>
        </w:tc>
        <w:tc>
          <w:tcPr>
            <w:tcW w:w="1476"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cs="宋体"/>
                <w:color w:val="000000" w:themeColor="text1"/>
                <w:kern w:val="0"/>
                <w:sz w:val="18"/>
                <w:szCs w:val="18"/>
                <w14:textFill>
                  <w14:solidFill>
                    <w14:schemeClr w14:val="tx1"/>
                  </w14:solidFill>
                </w14:textFill>
              </w:rPr>
            </w:pPr>
            <w:r>
              <w:rPr>
                <w:rFonts w:hint="eastAsia" w:cs="宋体"/>
                <w:color w:val="000000" w:themeColor="text1"/>
                <w:kern w:val="0"/>
                <w:sz w:val="18"/>
                <w:szCs w:val="18"/>
                <w14:textFill>
                  <w14:solidFill>
                    <w14:schemeClr w14:val="tx1"/>
                  </w14:solidFill>
                </w14:textFill>
              </w:rPr>
              <w:t>大数据+</w:t>
            </w:r>
          </w:p>
        </w:tc>
        <w:tc>
          <w:tcPr>
            <w:tcW w:w="116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hint="eastAsia" w:eastAsia="宋体"/>
                <w:color w:val="000000" w:themeColor="text1"/>
                <w:kern w:val="0"/>
                <w:sz w:val="18"/>
                <w:szCs w:val="18"/>
                <w14:textFill>
                  <w14:solidFill>
                    <w14:schemeClr w14:val="tx1"/>
                  </w14:solidFill>
                </w14:textFill>
              </w:rPr>
              <w:t>80</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100</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color w:val="000000" w:themeColor="text1"/>
                <w:kern w:val="0"/>
                <w:sz w:val="18"/>
                <w:szCs w:val="18"/>
                <w14:textFill>
                  <w14:solidFill>
                    <w14:schemeClr w14:val="tx1"/>
                  </w14:solidFill>
                </w14:textFill>
              </w:rPr>
            </w:pPr>
            <w:r>
              <w:rPr>
                <w:rFonts w:eastAsia="宋体"/>
                <w:color w:val="000000" w:themeColor="text1"/>
                <w:kern w:val="0"/>
                <w:sz w:val="18"/>
                <w:szCs w:val="18"/>
                <w14:textFill>
                  <w14:solidFill>
                    <w14:schemeClr w14:val="tx1"/>
                  </w14:solidFill>
                </w14:textFill>
              </w:rPr>
              <w:t>200</w:t>
            </w:r>
          </w:p>
        </w:tc>
      </w:tr>
      <w:tr>
        <w:tblPrEx>
          <w:tblCellMar>
            <w:top w:w="0" w:type="dxa"/>
            <w:left w:w="108" w:type="dxa"/>
            <w:bottom w:w="0" w:type="dxa"/>
            <w:right w:w="108" w:type="dxa"/>
          </w:tblCellMar>
        </w:tblPrEx>
        <w:trPr>
          <w:trHeight w:val="454" w:hRule="atLeast"/>
          <w:jc w:val="center"/>
        </w:trPr>
        <w:tc>
          <w:tcPr>
            <w:tcW w:w="515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cs="宋体"/>
                <w:b/>
                <w:color w:val="000000" w:themeColor="text1"/>
                <w:kern w:val="0"/>
                <w:sz w:val="18"/>
                <w:szCs w:val="18"/>
                <w14:textFill>
                  <w14:solidFill>
                    <w14:schemeClr w14:val="tx1"/>
                  </w14:solidFill>
                </w14:textFill>
              </w:rPr>
            </w:pPr>
            <w:r>
              <w:rPr>
                <w:rFonts w:hint="eastAsia" w:cs="宋体"/>
                <w:b/>
                <w:color w:val="000000" w:themeColor="text1"/>
                <w:kern w:val="0"/>
                <w:sz w:val="18"/>
                <w:szCs w:val="18"/>
                <w14:textFill>
                  <w14:solidFill>
                    <w14:schemeClr w14:val="tx1"/>
                  </w14:solidFill>
                </w14:textFill>
              </w:rPr>
              <w:t>合</w:t>
            </w:r>
            <w:r>
              <w:rPr>
                <w:b/>
                <w:color w:val="000000" w:themeColor="text1"/>
                <w:kern w:val="0"/>
                <w:sz w:val="18"/>
                <w:szCs w:val="18"/>
                <w14:textFill>
                  <w14:solidFill>
                    <w14:schemeClr w14:val="tx1"/>
                  </w14:solidFill>
                </w14:textFill>
              </w:rPr>
              <w:t xml:space="preserve">    </w:t>
            </w:r>
            <w:r>
              <w:rPr>
                <w:rFonts w:hint="eastAsia" w:cs="宋体"/>
                <w:b/>
                <w:color w:val="000000" w:themeColor="text1"/>
                <w:kern w:val="0"/>
                <w:sz w:val="18"/>
                <w:szCs w:val="18"/>
                <w14:textFill>
                  <w14:solidFill>
                    <w14:schemeClr w14:val="tx1"/>
                  </w14:solidFill>
                </w14:textFill>
              </w:rPr>
              <w:t>计</w:t>
            </w:r>
          </w:p>
        </w:tc>
        <w:tc>
          <w:tcPr>
            <w:tcW w:w="1163"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b/>
                <w:color w:val="000000" w:themeColor="text1"/>
                <w:kern w:val="0"/>
                <w:sz w:val="18"/>
                <w:szCs w:val="18"/>
                <w14:textFill>
                  <w14:solidFill>
                    <w14:schemeClr w14:val="tx1"/>
                  </w14:solidFill>
                </w14:textFill>
              </w:rPr>
            </w:pPr>
            <w:r>
              <w:rPr>
                <w:rFonts w:hint="eastAsia" w:eastAsia="宋体"/>
                <w:b/>
                <w:color w:val="000000" w:themeColor="text1"/>
                <w:kern w:val="0"/>
                <w:sz w:val="18"/>
                <w:szCs w:val="18"/>
                <w14:textFill>
                  <w14:solidFill>
                    <w14:schemeClr w14:val="tx1"/>
                  </w14:solidFill>
                </w14:textFill>
              </w:rPr>
              <w:t>2268.22</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b/>
                <w:color w:val="000000" w:themeColor="text1"/>
                <w:kern w:val="0"/>
                <w:sz w:val="18"/>
                <w:szCs w:val="18"/>
                <w14:textFill>
                  <w14:solidFill>
                    <w14:schemeClr w14:val="tx1"/>
                  </w14:solidFill>
                </w14:textFill>
              </w:rPr>
            </w:pPr>
            <w:r>
              <w:rPr>
                <w:rFonts w:eastAsia="宋体"/>
                <w:b/>
                <w:color w:val="000000" w:themeColor="text1"/>
                <w:kern w:val="0"/>
                <w:sz w:val="18"/>
                <w:szCs w:val="18"/>
                <w14:textFill>
                  <w14:solidFill>
                    <w14:schemeClr w14:val="tx1"/>
                  </w14:solidFill>
                </w14:textFill>
              </w:rPr>
              <w:t>4520</w:t>
            </w:r>
          </w:p>
        </w:tc>
        <w:tc>
          <w:tcPr>
            <w:tcW w:w="1142" w:type="dxa"/>
            <w:tcBorders>
              <w:top w:val="nil"/>
              <w:left w:val="nil"/>
              <w:bottom w:val="single" w:color="auto" w:sz="4" w:space="0"/>
              <w:right w:val="single" w:color="auto" w:sz="4" w:space="0"/>
            </w:tcBorders>
            <w:shd w:val="clear" w:color="auto" w:fill="auto"/>
            <w:vAlign w:val="center"/>
          </w:tcPr>
          <w:p>
            <w:pPr>
              <w:widowControl/>
              <w:spacing w:line="360" w:lineRule="exact"/>
              <w:jc w:val="center"/>
              <w:rPr>
                <w:rFonts w:eastAsia="宋体"/>
                <w:b/>
                <w:color w:val="000000" w:themeColor="text1"/>
                <w:kern w:val="0"/>
                <w:sz w:val="18"/>
                <w:szCs w:val="18"/>
                <w14:textFill>
                  <w14:solidFill>
                    <w14:schemeClr w14:val="tx1"/>
                  </w14:solidFill>
                </w14:textFill>
              </w:rPr>
            </w:pPr>
            <w:r>
              <w:rPr>
                <w:rFonts w:eastAsia="宋体"/>
                <w:b/>
                <w:color w:val="000000" w:themeColor="text1"/>
                <w:kern w:val="0"/>
                <w:sz w:val="18"/>
                <w:szCs w:val="18"/>
                <w14:textFill>
                  <w14:solidFill>
                    <w14:schemeClr w14:val="tx1"/>
                  </w14:solidFill>
                </w14:textFill>
              </w:rPr>
              <w:t>7000</w:t>
            </w:r>
          </w:p>
        </w:tc>
      </w:tr>
    </w:tbl>
    <w:p>
      <w:pPr>
        <w:spacing w:before="156" w:beforeLines="50"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二是推进“强链、补链、延链”工程。</w:t>
      </w:r>
      <w:r>
        <w:rPr>
          <w:rFonts w:hint="eastAsia"/>
          <w:color w:val="000000" w:themeColor="text1"/>
          <w:sz w:val="32"/>
          <w:szCs w:val="32"/>
          <w14:textFill>
            <w14:solidFill>
              <w14:schemeClr w14:val="tx1"/>
            </w14:solidFill>
          </w14:textFill>
        </w:rPr>
        <w:t>聚焦产业链优势环节，实施“链主”企业培育三年行动计划，鼓励现有优势企业通过创新升级、上市融资、兼并重组、战略合作等方式壮大主业、增强核心竞争力，打造一批掌握标准制定权、行业话语权、市场主导权的“链主”企业。分产业制订实施发展规划，聚焦产业链短板环节、关键节点，编制产业链招商地图，实施产业链招商，大力引进产业链核心项目、龙头项目、高新技术项目和关键供应商、销售商，形成上下游贯通、配套服务齐全、专业协作便捷的产业生态。推动有条件的龙头骨干企业加快主辅分离，积极利用业务优势及存量资产发展生产性服务业，从单一的生产加工环节向附加值更大、利润率更高的自主研发、品牌销售等服务环节延伸，在拉长产业链中拓展增长点。</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三是加强融通产业链分工协作。</w:t>
      </w:r>
      <w:r>
        <w:rPr>
          <w:rFonts w:hint="eastAsia"/>
          <w:color w:val="000000" w:themeColor="text1"/>
          <w:sz w:val="32"/>
          <w:szCs w:val="32"/>
          <w14:textFill>
            <w14:solidFill>
              <w14:schemeClr w14:val="tx1"/>
            </w14:solidFill>
          </w14:textFill>
        </w:rPr>
        <w:t>重点聚焦机电装备、纺织服装、家居制造、新材料、智能家电等产业，探索建立由高端应用领域的终端产品制造企业牵头，骨干企业、关键零部件企业、“专精特新”小巨人企业为支撑，研发设计机构、公共服务平台等参与的产业联盟，配备专职人员协调联盟成员在创意设计、技术标准应用、供应链协作、配套设施和服务共享、市场开拓等方面形成战略合作伙伴关系，促进产业链、创新链资源合理流动和优化配置，促进产业整体提升发展效益。</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spacing w:line="580" w:lineRule="exact"/>
              <w:jc w:val="center"/>
              <w:rPr>
                <w:rFonts w:eastAsia="方正黑体_GBK"/>
                <w:color w:val="000000" w:themeColor="text1"/>
                <w:kern w:val="0"/>
                <w:sz w:val="28"/>
                <w:szCs w:val="28"/>
                <w14:textFill>
                  <w14:solidFill>
                    <w14:schemeClr w14:val="tx1"/>
                  </w14:solidFill>
                </w14:textFill>
              </w:rPr>
            </w:pPr>
            <w:r>
              <w:rPr>
                <w:color w:val="000000" w:themeColor="text1"/>
                <w:sz w:val="32"/>
                <w:szCs w:val="32"/>
                <w14:textFill>
                  <w14:solidFill>
                    <w14:schemeClr w14:val="tx1"/>
                  </w14:solidFill>
                </w14:textFill>
              </w:rPr>
              <w:br w:type="page"/>
            </w:r>
            <w:r>
              <w:rPr>
                <w:rFonts w:eastAsia="方正黑体_GBK"/>
                <w:color w:val="000000" w:themeColor="text1"/>
                <w:kern w:val="0"/>
                <w:sz w:val="28"/>
                <w:szCs w:val="28"/>
                <w14:textFill>
                  <w14:solidFill>
                    <w14:schemeClr w14:val="tx1"/>
                  </w14:solidFill>
                </w14:textFill>
              </w:rPr>
              <w:t>专栏6-</w:t>
            </w:r>
            <w:r>
              <w:rPr>
                <w:rFonts w:hint="eastAsia" w:eastAsia="方正黑体_GBK"/>
                <w:color w:val="000000" w:themeColor="text1"/>
                <w:kern w:val="0"/>
                <w:sz w:val="28"/>
                <w:szCs w:val="28"/>
                <w14:textFill>
                  <w14:solidFill>
                    <w14:schemeClr w14:val="tx1"/>
                  </w14:solidFill>
                </w14:textFill>
              </w:rPr>
              <w:t>2</w:t>
            </w:r>
            <w:r>
              <w:rPr>
                <w:rFonts w:eastAsia="方正黑体_GBK"/>
                <w:color w:val="000000" w:themeColor="text1"/>
                <w:kern w:val="0"/>
                <w:sz w:val="28"/>
                <w:szCs w:val="28"/>
                <w14:textFill>
                  <w14:solidFill>
                    <w14:schemeClr w14:val="tx1"/>
                  </w14:solidFill>
                </w14:textFill>
              </w:rPr>
              <w:t xml:space="preserve"> </w:t>
            </w:r>
            <w:r>
              <w:rPr>
                <w:rFonts w:hint="eastAsia" w:eastAsia="方正黑体_GBK"/>
                <w:color w:val="000000" w:themeColor="text1"/>
                <w:kern w:val="0"/>
                <w:sz w:val="28"/>
                <w:szCs w:val="28"/>
                <w14:textFill>
                  <w14:solidFill>
                    <w14:schemeClr w14:val="tx1"/>
                  </w14:solidFill>
                </w14:textFill>
              </w:rPr>
              <w:t xml:space="preserve"> 实施20条重点产业链培育工程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6" w:hRule="atLeast"/>
        </w:trPr>
        <w:tc>
          <w:tcPr>
            <w:tcW w:w="8522" w:type="dxa"/>
          </w:tcPr>
          <w:p>
            <w:pPr>
              <w:spacing w:line="400" w:lineRule="exact"/>
              <w:ind w:firstLine="560" w:firstLineChars="200"/>
              <w:rPr>
                <w:bCs/>
                <w:color w:val="000000" w:themeColor="text1"/>
                <w:kern w:val="0"/>
                <w:sz w:val="28"/>
                <w:szCs w:val="28"/>
                <w14:textFill>
                  <w14:solidFill>
                    <w14:schemeClr w14:val="tx1"/>
                  </w14:solidFill>
                </w14:textFill>
              </w:rPr>
            </w:pPr>
            <w:r>
              <w:rPr>
                <w:color w:val="000000" w:themeColor="text1"/>
                <w:kern w:val="0"/>
                <w:sz w:val="28"/>
                <w:szCs w:val="28"/>
                <w14:textFill>
                  <w14:solidFill>
                    <w14:schemeClr w14:val="tx1"/>
                  </w14:solidFill>
                </w14:textFill>
              </w:rPr>
              <w:t xml:space="preserve">1. </w:t>
            </w:r>
            <w:r>
              <w:rPr>
                <w:rFonts w:hint="eastAsia" w:ascii="方正仿宋_GBK" w:hAnsi="方正仿宋_GBK" w:cs="方正仿宋_GBK"/>
                <w:b/>
                <w:bCs/>
                <w:color w:val="000000" w:themeColor="text1"/>
                <w:kern w:val="0"/>
                <w:sz w:val="28"/>
                <w:szCs w:val="28"/>
                <w14:textFill>
                  <w14:solidFill>
                    <w14:schemeClr w14:val="tx1"/>
                  </w14:solidFill>
                </w14:textFill>
              </w:rPr>
              <w:t>市领导挂钩联系产业链制度。</w:t>
            </w:r>
            <w:r>
              <w:rPr>
                <w:rFonts w:hint="eastAsia"/>
                <w:color w:val="000000" w:themeColor="text1"/>
                <w:kern w:val="0"/>
                <w:sz w:val="28"/>
                <w:szCs w:val="28"/>
                <w14:textFill>
                  <w14:solidFill>
                    <w14:schemeClr w14:val="tx1"/>
                  </w14:solidFill>
                </w14:textFill>
              </w:rPr>
              <w:t>每条产业链明确由两名市级领导联系挂钩，由一个市直部门牵头。在</w:t>
            </w:r>
            <w:r>
              <w:rPr>
                <w:rFonts w:hint="eastAsia"/>
                <w:bCs/>
                <w:color w:val="000000" w:themeColor="text1"/>
                <w:kern w:val="0"/>
                <w:sz w:val="28"/>
                <w:szCs w:val="28"/>
                <w14:textFill>
                  <w14:solidFill>
                    <w14:schemeClr w14:val="tx1"/>
                  </w14:solidFill>
                </w14:textFill>
              </w:rPr>
              <w:t>市委、市政府的领导下，每条产业链成立培育专班，由牵头部门主要领导负责，会同有关部门和重点地区按照职能分工协同推进。</w:t>
            </w:r>
          </w:p>
          <w:p>
            <w:pPr>
              <w:spacing w:line="400" w:lineRule="exact"/>
              <w:ind w:firstLine="560" w:firstLineChars="200"/>
              <w:rPr>
                <w:bCs/>
                <w:color w:val="000000" w:themeColor="text1"/>
                <w:sz w:val="28"/>
                <w:szCs w:val="28"/>
                <w14:textFill>
                  <w14:solidFill>
                    <w14:schemeClr w14:val="tx1"/>
                  </w14:solidFill>
                </w14:textFill>
              </w:rPr>
            </w:pPr>
            <w:r>
              <w:rPr>
                <w:color w:val="000000" w:themeColor="text1"/>
                <w:kern w:val="0"/>
                <w:sz w:val="28"/>
                <w:szCs w:val="28"/>
                <w14:textFill>
                  <w14:solidFill>
                    <w14:schemeClr w14:val="tx1"/>
                  </w14:solidFill>
                </w14:textFill>
              </w:rPr>
              <w:t>2.</w:t>
            </w:r>
            <w:r>
              <w:rPr>
                <w:rFonts w:hint="eastAsia" w:ascii="方正仿宋_GBK" w:hAnsi="方正仿宋_GBK" w:cs="方正仿宋_GBK"/>
                <w:b/>
                <w:bCs/>
                <w:color w:val="000000" w:themeColor="text1"/>
                <w:kern w:val="0"/>
                <w:sz w:val="28"/>
                <w:szCs w:val="28"/>
                <w14:textFill>
                  <w14:solidFill>
                    <w14:schemeClr w14:val="tx1"/>
                  </w14:solidFill>
                </w14:textFill>
              </w:rPr>
              <w:t>“十个一”工作推进机制。</w:t>
            </w:r>
            <w:r>
              <w:rPr>
                <w:rFonts w:hint="eastAsia"/>
                <w:bCs/>
                <w:color w:val="000000" w:themeColor="text1"/>
                <w:sz w:val="28"/>
                <w:szCs w:val="28"/>
                <w14:textFill>
                  <w14:solidFill>
                    <w14:schemeClr w14:val="tx1"/>
                  </w14:solidFill>
                </w14:textFill>
              </w:rPr>
              <w:t>即每条产业链建立一个联席会议、制定一个工作方案、确定一位首席专家、明确一个智库单位、培育一批支撑机构、建设一批园区载体、梳理一批龙头企业和重点项目、设立一个产业人才库、形成一张产业链招商图谱、建立一份发展问题清单。</w:t>
            </w:r>
          </w:p>
          <w:p>
            <w:pPr>
              <w:spacing w:line="400" w:lineRule="exact"/>
              <w:ind w:firstLine="560" w:firstLineChars="200"/>
              <w:rPr>
                <w:color w:val="000000" w:themeColor="text1"/>
                <w14:textFill>
                  <w14:solidFill>
                    <w14:schemeClr w14:val="tx1"/>
                  </w14:solidFill>
                </w14:textFill>
              </w:rPr>
            </w:pPr>
            <w:r>
              <w:rPr>
                <w:color w:val="000000" w:themeColor="text1"/>
                <w:kern w:val="0"/>
                <w:sz w:val="28"/>
                <w:szCs w:val="28"/>
                <w14:textFill>
                  <w14:solidFill>
                    <w14:schemeClr w14:val="tx1"/>
                  </w14:solidFill>
                </w14:textFill>
              </w:rPr>
              <w:t xml:space="preserve">3. </w:t>
            </w:r>
            <w:r>
              <w:rPr>
                <w:rFonts w:hint="eastAsia" w:ascii="方正仿宋_GBK" w:hAnsi="方正仿宋_GBK" w:cs="方正仿宋_GBK"/>
                <w:b/>
                <w:bCs/>
                <w:color w:val="000000" w:themeColor="text1"/>
                <w:kern w:val="0"/>
                <w:sz w:val="28"/>
                <w:szCs w:val="28"/>
                <w14:textFill>
                  <w14:solidFill>
                    <w14:schemeClr w14:val="tx1"/>
                  </w14:solidFill>
                </w14:textFill>
              </w:rPr>
              <w:t>产业链大脑建设工程。</w:t>
            </w:r>
            <w:r>
              <w:rPr>
                <w:rFonts w:hint="eastAsia"/>
                <w:bCs/>
                <w:color w:val="000000" w:themeColor="text1"/>
                <w:sz w:val="28"/>
                <w:szCs w:val="28"/>
                <w14:textFill>
                  <w14:solidFill>
                    <w14:schemeClr w14:val="tx1"/>
                  </w14:solidFill>
                </w14:textFill>
              </w:rPr>
              <w:t>集成招商、科技、人才、金融等领域资源，描绘产业、招商、创新、人才、资金图谱，建立“开放式、工具化、全天候”的产业链大数据云平台，实现“平台+数据”的管服模式有效助力产业链深度研究、精准招商、靶向发力。</w:t>
            </w:r>
          </w:p>
        </w:tc>
      </w:tr>
    </w:tbl>
    <w:p>
      <w:pPr>
        <w:spacing w:line="580" w:lineRule="exact"/>
        <w:rPr>
          <w:rFonts w:eastAsia="方正楷体_GBK"/>
          <w:b/>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54" w:name="_Toc75019427"/>
      <w:bookmarkStart w:id="55" w:name="_Toc20013"/>
      <w:r>
        <w:rPr>
          <w:rFonts w:hint="eastAsia" w:ascii="Times New Roman" w:hAnsi="Times New Roman" w:eastAsia="方正楷体_GBK"/>
          <w:b w:val="0"/>
          <w:color w:val="000000" w:themeColor="text1"/>
          <w14:textFill>
            <w14:solidFill>
              <w14:schemeClr w14:val="tx1"/>
            </w14:solidFill>
          </w14:textFill>
        </w:rPr>
        <w:t xml:space="preserve">第二节  </w:t>
      </w:r>
      <w:bookmarkEnd w:id="54"/>
      <w:r>
        <w:rPr>
          <w:rFonts w:hint="eastAsia" w:ascii="Times New Roman" w:hAnsi="Times New Roman" w:eastAsia="方正楷体_GBK"/>
          <w:b w:val="0"/>
          <w:color w:val="000000" w:themeColor="text1"/>
          <w14:textFill>
            <w14:solidFill>
              <w14:schemeClr w14:val="tx1"/>
            </w14:solidFill>
          </w14:textFill>
        </w:rPr>
        <w:t>持续深化企业梯队培育工程</w:t>
      </w:r>
      <w:bookmarkEnd w:id="55"/>
    </w:p>
    <w:p>
      <w:pPr>
        <w:spacing w:line="580" w:lineRule="exact"/>
        <w:rPr>
          <w:rFonts w:eastAsia="方正楷体_GBK"/>
          <w:b/>
          <w:color w:val="000000" w:themeColor="text1"/>
          <w:sz w:val="32"/>
          <w:szCs w:val="32"/>
          <w14:textFill>
            <w14:solidFill>
              <w14:schemeClr w14:val="tx1"/>
            </w14:solidFill>
          </w14:textFill>
        </w:rPr>
      </w:pP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一、发展壮大龙头骨干企业</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一是全力招引培育龙头骨干企业。</w:t>
      </w:r>
      <w:r>
        <w:rPr>
          <w:rFonts w:hint="eastAsia"/>
          <w:color w:val="000000" w:themeColor="text1"/>
          <w:sz w:val="32"/>
          <w:szCs w:val="32"/>
          <w14:textFill>
            <w14:solidFill>
              <w14:schemeClr w14:val="tx1"/>
            </w14:solidFill>
          </w14:textFill>
        </w:rPr>
        <w:t>重点招引处于产业前沿、拥有核心技术、具备领先优势的龙头骨干企业，实施龙头骨干企业跨档升级行动，“一企一策”扶持企业开展核心技术攻关、兼并重组、产业链延伸、商业模式创新、“走出去”、股改上市等，助推企业在新产品开发、技术和工艺改进、品牌建设、创意设计、物流配送、营销网络等环节不断取得新突破，打造具有国际竞争力的新地标企业和创新型领军企业。</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二是强化龙头企业产业链引领作用。</w:t>
      </w:r>
      <w:r>
        <w:rPr>
          <w:rFonts w:hint="eastAsia"/>
          <w:color w:val="000000" w:themeColor="text1"/>
          <w:sz w:val="32"/>
          <w:szCs w:val="32"/>
          <w14:textFill>
            <w14:solidFill>
              <w14:schemeClr w14:val="tx1"/>
            </w14:solidFill>
          </w14:textFill>
        </w:rPr>
        <w:t>引导有条件的大型龙头企业输出配套产品标准，实现产业链协同创新和资源共享，重点引导洋河股份、天合光能、双星彩塑等行业标杆企业带领配套中小企业共同开展技术创新和产品研发，建立检验检测设备开放共享机制，推进效益型龙头企业培育工程，打造重量级、领军型企业，积极培育一批拥有新技术、新模式、新业态的新兴企业和优势企业，优化工业企业结构和产业结构。</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三是提升龙头企业国际竞争力。</w:t>
      </w:r>
      <w:r>
        <w:rPr>
          <w:rFonts w:hint="eastAsia"/>
          <w:color w:val="000000" w:themeColor="text1"/>
          <w:sz w:val="32"/>
          <w:szCs w:val="32"/>
          <w14:textFill>
            <w14:solidFill>
              <w14:schemeClr w14:val="tx1"/>
            </w14:solidFill>
          </w14:textFill>
        </w:rPr>
        <w:t>推动龙头骨干企业带头“走出去”，主动深度参与国际分工，参与国际产业合作园等基地建设和国际产能合作，紧握当前全球价值链重塑的机遇，不断提升价值链位置。鼓励优势企业建立海外产品研发中心、实验基地和全球营销及服务体系，获取高端的生产能力，在研发、设计和服务等高附加值领域积累竞争优势。</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二、推动中小企业专精特新发展</w:t>
      </w:r>
    </w:p>
    <w:p>
      <w:pPr>
        <w:pStyle w:val="23"/>
        <w:widowControl w:val="0"/>
        <w:spacing w:before="0" w:beforeAutospacing="0" w:after="0" w:afterAutospacing="0" w:line="580" w:lineRule="exact"/>
        <w:ind w:firstLine="643" w:firstLineChars="200"/>
        <w:rPr>
          <w:rFonts w:ascii="Times New Roman" w:hAnsi="Times New Roman" w:eastAsia="方正仿宋_GBK" w:cs="Times New Roman"/>
          <w:color w:val="000000" w:themeColor="text1"/>
          <w:kern w:val="2"/>
          <w:sz w:val="32"/>
          <w:szCs w:val="32"/>
          <w14:textFill>
            <w14:solidFill>
              <w14:schemeClr w14:val="tx1"/>
            </w14:solidFill>
          </w14:textFill>
        </w:rPr>
      </w:pPr>
      <w:r>
        <w:rPr>
          <w:rFonts w:hint="eastAsia" w:ascii="Times New Roman" w:hAnsi="Times New Roman" w:eastAsia="方正仿宋_GBK" w:cs="Times New Roman"/>
          <w:b/>
          <w:color w:val="000000" w:themeColor="text1"/>
          <w:kern w:val="2"/>
          <w:sz w:val="32"/>
          <w:szCs w:val="32"/>
          <w14:textFill>
            <w14:solidFill>
              <w14:schemeClr w14:val="tx1"/>
            </w14:solidFill>
          </w14:textFill>
        </w:rPr>
        <w:t>一是加强专精特新标杆型企业培育。</w:t>
      </w:r>
      <w:r>
        <w:rPr>
          <w:rFonts w:hint="eastAsia" w:ascii="Times New Roman" w:hAnsi="Times New Roman" w:eastAsia="方正仿宋_GBK" w:cs="Times New Roman"/>
          <w:color w:val="000000" w:themeColor="text1"/>
          <w:kern w:val="2"/>
          <w:sz w:val="32"/>
          <w:szCs w:val="32"/>
          <w14:textFill>
            <w14:solidFill>
              <w14:schemeClr w14:val="tx1"/>
            </w14:solidFill>
          </w14:textFill>
        </w:rPr>
        <w:t>加强</w:t>
      </w:r>
      <w:r>
        <w:rPr>
          <w:rFonts w:ascii="Times New Roman" w:hAnsi="Times New Roman" w:eastAsia="方正仿宋_GBK" w:cs="Times New Roman"/>
          <w:color w:val="000000" w:themeColor="text1"/>
          <w:kern w:val="2"/>
          <w:sz w:val="32"/>
          <w:szCs w:val="32"/>
          <w14:textFill>
            <w14:solidFill>
              <w14:schemeClr w14:val="tx1"/>
            </w14:solidFill>
          </w14:textFill>
        </w:rPr>
        <w:t>专精特新</w:t>
      </w:r>
      <w:r>
        <w:rPr>
          <w:rFonts w:hint="eastAsia" w:ascii="Times New Roman" w:hAnsi="Times New Roman" w:eastAsia="方正仿宋_GBK" w:cs="Times New Roman"/>
          <w:color w:val="000000" w:themeColor="text1"/>
          <w:kern w:val="2"/>
          <w:sz w:val="32"/>
          <w:szCs w:val="32"/>
          <w14:textFill>
            <w14:solidFill>
              <w14:schemeClr w14:val="tx1"/>
            </w14:solidFill>
          </w14:textFill>
        </w:rPr>
        <w:t>标杆型企业</w:t>
      </w:r>
      <w:r>
        <w:rPr>
          <w:rFonts w:ascii="Times New Roman" w:hAnsi="Times New Roman" w:eastAsia="方正仿宋_GBK" w:cs="Times New Roman"/>
          <w:color w:val="000000" w:themeColor="text1"/>
          <w:kern w:val="2"/>
          <w:sz w:val="32"/>
          <w:szCs w:val="32"/>
          <w14:textFill>
            <w14:solidFill>
              <w14:schemeClr w14:val="tx1"/>
            </w14:solidFill>
          </w14:textFill>
        </w:rPr>
        <w:t>培育库</w:t>
      </w:r>
      <w:r>
        <w:rPr>
          <w:rFonts w:hint="eastAsia" w:ascii="Times New Roman" w:hAnsi="Times New Roman" w:eastAsia="方正仿宋_GBK" w:cs="Times New Roman"/>
          <w:color w:val="000000" w:themeColor="text1"/>
          <w:kern w:val="2"/>
          <w:sz w:val="32"/>
          <w:szCs w:val="32"/>
          <w14:textFill>
            <w14:solidFill>
              <w14:schemeClr w14:val="tx1"/>
            </w14:solidFill>
          </w14:textFill>
        </w:rPr>
        <w:t>管理</w:t>
      </w:r>
      <w:r>
        <w:rPr>
          <w:rFonts w:ascii="Times New Roman" w:hAnsi="Times New Roman" w:eastAsia="方正仿宋_GBK" w:cs="Times New Roman"/>
          <w:color w:val="000000" w:themeColor="text1"/>
          <w:kern w:val="2"/>
          <w:sz w:val="32"/>
          <w:szCs w:val="32"/>
          <w14:textFill>
            <w14:solidFill>
              <w14:schemeClr w14:val="tx1"/>
            </w14:solidFill>
          </w14:textFill>
        </w:rPr>
        <w:t>，</w:t>
      </w:r>
      <w:r>
        <w:rPr>
          <w:rFonts w:hint="eastAsia" w:ascii="Times New Roman" w:hAnsi="Times New Roman" w:eastAsia="方正仿宋_GBK" w:cs="Times New Roman"/>
          <w:color w:val="000000" w:themeColor="text1"/>
          <w:kern w:val="2"/>
          <w:sz w:val="32"/>
          <w:szCs w:val="32"/>
          <w14:textFill>
            <w14:solidFill>
              <w14:schemeClr w14:val="tx1"/>
            </w14:solidFill>
          </w14:textFill>
        </w:rPr>
        <w:t>对培育库实行动态管理、定期更新，加强跟踪服务，对培育库企业定期调研，及时排查、解决问题。“十四五”期间，争创国家制造业“单项冠军”4户以上，每年创建省级以上专精特新小巨人企业6户以上，市级30户以上。鼓励双星彩塑、博迁新材料、景宏新材料等8户市场占有率排名全球前三的企业围绕细分市场进一步做专、做特、做精、做优，支持研发创新和智能化升级，提高产品质量和创新能力，巩固提升市场领先地位，争创国家制造业单项冠军企业（产品）。重点引导斯迪克新材、联盛科技、宋和宋智能等专精特新领军企业带领配套中小企业共同开展技术创新和产品研发，打造重点产业链专精特新小巨人企业。</w:t>
      </w:r>
    </w:p>
    <w:p>
      <w:pPr>
        <w:pStyle w:val="23"/>
        <w:widowControl w:val="0"/>
        <w:spacing w:before="0" w:beforeAutospacing="0" w:after="0" w:afterAutospacing="0" w:line="580" w:lineRule="exact"/>
        <w:ind w:firstLine="643" w:firstLineChars="200"/>
        <w:rPr>
          <w:rFonts w:ascii="Times New Roman" w:hAnsi="Times New Roman" w:eastAsia="方正仿宋_GBK" w:cs="Times New Roman"/>
          <w:color w:val="000000" w:themeColor="text1"/>
          <w:kern w:val="2"/>
          <w:sz w:val="32"/>
          <w:szCs w:val="32"/>
          <w14:textFill>
            <w14:solidFill>
              <w14:schemeClr w14:val="tx1"/>
            </w14:solidFill>
          </w14:textFill>
        </w:rPr>
      </w:pPr>
      <w:r>
        <w:rPr>
          <w:rFonts w:hint="eastAsia" w:ascii="Times New Roman" w:hAnsi="Times New Roman" w:eastAsia="方正仿宋_GBK" w:cs="Times New Roman"/>
          <w:b/>
          <w:color w:val="000000" w:themeColor="text1"/>
          <w:kern w:val="2"/>
          <w:sz w:val="32"/>
          <w:szCs w:val="32"/>
          <w14:textFill>
            <w14:solidFill>
              <w14:schemeClr w14:val="tx1"/>
            </w14:solidFill>
          </w14:textFill>
        </w:rPr>
        <w:t>二是全力提升专精特新企业核心竞争力</w:t>
      </w:r>
      <w:r>
        <w:rPr>
          <w:rFonts w:hint="eastAsia" w:ascii="Times New Roman" w:hAnsi="Times New Roman" w:eastAsia="方正仿宋_GBK" w:cs="Times New Roman"/>
          <w:color w:val="000000" w:themeColor="text1"/>
          <w:kern w:val="2"/>
          <w:sz w:val="32"/>
          <w:szCs w:val="32"/>
          <w14:textFill>
            <w14:solidFill>
              <w14:schemeClr w14:val="tx1"/>
            </w14:solidFill>
          </w14:textFill>
        </w:rPr>
        <w:t>。推动</w:t>
      </w:r>
      <w:r>
        <w:rPr>
          <w:rFonts w:ascii="Times New Roman" w:hAnsi="Times New Roman" w:eastAsia="方正仿宋_GBK" w:cs="Times New Roman"/>
          <w:color w:val="000000" w:themeColor="text1"/>
          <w:kern w:val="2"/>
          <w:sz w:val="32"/>
          <w:szCs w:val="32"/>
          <w14:textFill>
            <w14:solidFill>
              <w14:schemeClr w14:val="tx1"/>
            </w14:solidFill>
          </w14:textFill>
        </w:rPr>
        <w:t>阿尔法药业</w:t>
      </w:r>
      <w:r>
        <w:rPr>
          <w:rFonts w:hint="eastAsia" w:ascii="Times New Roman" w:hAnsi="Times New Roman" w:eastAsia="方正仿宋_GBK" w:cs="Times New Roman"/>
          <w:color w:val="000000" w:themeColor="text1"/>
          <w:kern w:val="2"/>
          <w:sz w:val="32"/>
          <w:szCs w:val="32"/>
          <w14:textFill>
            <w14:solidFill>
              <w14:schemeClr w14:val="tx1"/>
            </w14:solidFill>
          </w14:textFill>
        </w:rPr>
        <w:t>、景宏新材料、新亚强硅化学等专精特新企业</w:t>
      </w:r>
      <w:r>
        <w:rPr>
          <w:rFonts w:ascii="Times New Roman" w:hAnsi="Times New Roman" w:eastAsia="方正仿宋_GBK" w:cs="Times New Roman"/>
          <w:color w:val="000000" w:themeColor="text1"/>
          <w:kern w:val="2"/>
          <w:sz w:val="32"/>
          <w:szCs w:val="32"/>
          <w14:textFill>
            <w14:solidFill>
              <w14:schemeClr w14:val="tx1"/>
            </w14:solidFill>
          </w14:textFill>
        </w:rPr>
        <w:t>投资建设企业研究院，</w:t>
      </w:r>
      <w:r>
        <w:rPr>
          <w:rFonts w:hint="eastAsia" w:ascii="Times New Roman" w:hAnsi="Times New Roman" w:eastAsia="方正仿宋_GBK" w:cs="Times New Roman"/>
          <w:color w:val="000000" w:themeColor="text1"/>
          <w:kern w:val="2"/>
          <w:sz w:val="32"/>
          <w:szCs w:val="32"/>
          <w14:textFill>
            <w14:solidFill>
              <w14:schemeClr w14:val="tx1"/>
            </w14:solidFill>
          </w14:textFill>
        </w:rPr>
        <w:t>开展共性技术、关键技术攻关，为关键领域补短板和填补国内国际空白。</w:t>
      </w:r>
      <w:r>
        <w:rPr>
          <w:rFonts w:ascii="Times New Roman" w:hAnsi="Times New Roman" w:eastAsia="方正仿宋_GBK" w:cs="Times New Roman"/>
          <w:color w:val="000000" w:themeColor="text1"/>
          <w:kern w:val="2"/>
          <w:sz w:val="32"/>
          <w:szCs w:val="32"/>
          <w14:textFill>
            <w14:solidFill>
              <w14:schemeClr w14:val="tx1"/>
            </w14:solidFill>
          </w14:textFill>
        </w:rPr>
        <w:t>支持陆亿纺织</w:t>
      </w:r>
      <w:r>
        <w:rPr>
          <w:rFonts w:hint="eastAsia" w:ascii="Times New Roman" w:hAnsi="Times New Roman" w:eastAsia="方正仿宋_GBK" w:cs="Times New Roman"/>
          <w:color w:val="000000" w:themeColor="text1"/>
          <w:kern w:val="2"/>
          <w:sz w:val="32"/>
          <w:szCs w:val="32"/>
          <w14:textFill>
            <w14:solidFill>
              <w14:schemeClr w14:val="tx1"/>
            </w14:solidFill>
          </w14:textFill>
        </w:rPr>
        <w:t>、新时代照明等中小专精特新</w:t>
      </w:r>
      <w:r>
        <w:rPr>
          <w:rFonts w:ascii="Times New Roman" w:hAnsi="Times New Roman" w:eastAsia="方正仿宋_GBK" w:cs="Times New Roman"/>
          <w:color w:val="000000" w:themeColor="text1"/>
          <w:kern w:val="2"/>
          <w:sz w:val="32"/>
          <w:szCs w:val="32"/>
          <w14:textFill>
            <w14:solidFill>
              <w14:schemeClr w14:val="tx1"/>
            </w14:solidFill>
          </w14:textFill>
        </w:rPr>
        <w:t>企业建设省级以上企业技术中心、工程（技术）研究中心、产品质检中心、重点实验室、工程实验室等研发机构，全面构建我市制造业创新生态。</w:t>
      </w:r>
      <w:r>
        <w:rPr>
          <w:rFonts w:hint="eastAsia" w:ascii="Times New Roman" w:hAnsi="Times New Roman" w:eastAsia="方正仿宋_GBK" w:cs="Times New Roman"/>
          <w:color w:val="000000" w:themeColor="text1"/>
          <w:kern w:val="2"/>
          <w:sz w:val="32"/>
          <w:szCs w:val="32"/>
          <w14:textFill>
            <w14:solidFill>
              <w14:schemeClr w14:val="tx1"/>
            </w14:solidFill>
          </w14:textFill>
        </w:rPr>
        <w:t>积极鼓励宋和宋、联盛科技、南钢金鑫等企业参与国际、国家和行业标准制修订，推动企业提升产业技术标准话语权，以标准化助推技术和产品的市场化、产业化、国际化。</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三、推进小微企业规模化发展</w:t>
      </w:r>
    </w:p>
    <w:p>
      <w:pPr>
        <w:pStyle w:val="23"/>
        <w:spacing w:before="0" w:beforeAutospacing="0" w:after="0" w:afterAutospacing="0" w:line="580" w:lineRule="exact"/>
        <w:ind w:firstLine="643" w:firstLineChars="200"/>
        <w:jc w:val="both"/>
        <w:rPr>
          <w:rFonts w:ascii="Times New Roman" w:hAnsi="Times New Roman" w:eastAsia="方正仿宋_GBK" w:cs="Times New Roman"/>
          <w:color w:val="000000" w:themeColor="text1"/>
          <w:kern w:val="2"/>
          <w:sz w:val="32"/>
          <w:szCs w:val="32"/>
          <w14:textFill>
            <w14:solidFill>
              <w14:schemeClr w14:val="tx1"/>
            </w14:solidFill>
          </w14:textFill>
        </w:rPr>
      </w:pPr>
      <w:r>
        <w:rPr>
          <w:rFonts w:hint="eastAsia" w:ascii="Times New Roman" w:hAnsi="Times New Roman" w:eastAsia="方正仿宋_GBK" w:cs="Times New Roman"/>
          <w:b/>
          <w:color w:val="000000" w:themeColor="text1"/>
          <w:kern w:val="2"/>
          <w:sz w:val="32"/>
          <w:szCs w:val="32"/>
          <w14:textFill>
            <w14:solidFill>
              <w14:schemeClr w14:val="tx1"/>
            </w14:solidFill>
          </w14:textFill>
        </w:rPr>
        <w:t>一是细化“小升规”企业培育措施。</w:t>
      </w:r>
      <w:r>
        <w:rPr>
          <w:rFonts w:hint="eastAsia" w:ascii="Times New Roman" w:hAnsi="Times New Roman" w:eastAsia="方正仿宋_GBK" w:cs="Times New Roman"/>
          <w:color w:val="000000" w:themeColor="text1"/>
          <w:kern w:val="2"/>
          <w:sz w:val="32"/>
          <w:szCs w:val="32"/>
          <w14:textFill>
            <w14:solidFill>
              <w14:schemeClr w14:val="tx1"/>
            </w14:solidFill>
          </w14:textFill>
        </w:rPr>
        <w:t>加强组织领导，落实工作责任制，推动各地完善“小升规”培育库，每年精选600家以上高成长性小微企业进入市级培育库，按照“一户一策”原则分类制定企业培育计划和路线图，对最近三年已经投产的项目进行“回头看”，对新上项目及时跟踪，逐个化解项目落地难题，推进项目早注册、早到资、早开工、早投产、早达效。及时了解企业经营动态，采取针对性措施防止或减少规上企业退出。</w:t>
      </w:r>
    </w:p>
    <w:p>
      <w:pPr>
        <w:pStyle w:val="23"/>
        <w:spacing w:before="0" w:beforeAutospacing="0" w:after="0" w:afterAutospacing="0" w:line="580" w:lineRule="exact"/>
        <w:ind w:firstLine="643" w:firstLineChars="200"/>
        <w:jc w:val="both"/>
        <w:rPr>
          <w:rFonts w:ascii="Times New Roman" w:hAnsi="Times New Roman" w:eastAsia="方正仿宋_GBK" w:cs="Times New Roman"/>
          <w:color w:val="000000" w:themeColor="text1"/>
          <w:kern w:val="2"/>
          <w:sz w:val="32"/>
          <w:szCs w:val="32"/>
          <w14:textFill>
            <w14:solidFill>
              <w14:schemeClr w14:val="tx1"/>
            </w14:solidFill>
          </w14:textFill>
        </w:rPr>
      </w:pPr>
      <w:r>
        <w:rPr>
          <w:rFonts w:hint="eastAsia" w:ascii="Times New Roman" w:hAnsi="Times New Roman" w:eastAsia="方正仿宋_GBK" w:cs="Times New Roman"/>
          <w:b/>
          <w:color w:val="000000" w:themeColor="text1"/>
          <w:kern w:val="2"/>
          <w:sz w:val="32"/>
          <w:szCs w:val="32"/>
          <w14:textFill>
            <w14:solidFill>
              <w14:schemeClr w14:val="tx1"/>
            </w14:solidFill>
          </w14:textFill>
        </w:rPr>
        <w:t>二是提升“小升规”企业发展质态。</w:t>
      </w:r>
      <w:r>
        <w:rPr>
          <w:rFonts w:hint="eastAsia" w:ascii="Times New Roman" w:hAnsi="Times New Roman" w:eastAsia="方正仿宋_GBK" w:cs="Times New Roman"/>
          <w:color w:val="000000" w:themeColor="text1"/>
          <w:kern w:val="2"/>
          <w:sz w:val="32"/>
          <w:szCs w:val="32"/>
          <w14:textFill>
            <w14:solidFill>
              <w14:schemeClr w14:val="tx1"/>
            </w14:solidFill>
          </w14:textFill>
        </w:rPr>
        <w:t>鼓励企业开展新技术新产品研发的技术改造，开展低碳化、信息化和智能化的技术改造，开展延伸产业链条和地产品配套的技术改造，加快企业装备提档升级、产品提质升级、发展转型升级。组织科技成果对接，为企业与科研院所、高等院校牵线搭桥，推动产学研合作。推动企业上云，支持中小企业核心业务向云端迁移，发展电商平台，提高中小企业电子商务应用网络化水平。</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四、大力培育上市企业</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一是</w:t>
      </w:r>
      <w:r>
        <w:rPr>
          <w:b/>
          <w:color w:val="000000" w:themeColor="text1"/>
          <w:sz w:val="32"/>
          <w:szCs w:val="32"/>
          <w14:textFill>
            <w14:solidFill>
              <w14:schemeClr w14:val="tx1"/>
            </w14:solidFill>
          </w14:textFill>
        </w:rPr>
        <w:t>围绕重点产业链培育</w:t>
      </w:r>
      <w:r>
        <w:rPr>
          <w:rFonts w:hint="eastAsia"/>
          <w:b/>
          <w:color w:val="000000" w:themeColor="text1"/>
          <w:sz w:val="32"/>
          <w:szCs w:val="32"/>
          <w14:textFill>
            <w14:solidFill>
              <w14:schemeClr w14:val="tx1"/>
            </w14:solidFill>
          </w14:textFill>
        </w:rPr>
        <w:t>上市企业。</w:t>
      </w:r>
      <w:r>
        <w:rPr>
          <w:color w:val="000000" w:themeColor="text1"/>
          <w:sz w:val="32"/>
          <w:szCs w:val="32"/>
          <w14:textFill>
            <w14:solidFill>
              <w14:schemeClr w14:val="tx1"/>
            </w14:solidFill>
          </w14:textFill>
        </w:rPr>
        <w:t>推动企业上市与强化重点产业链相结合，支持引导重点产业链企业利用资本市场实现快速发展，动态更新上市企业后备库，创新企业上市协调推进机制，加强对上沟通交流，建立企业上市</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绿色通道</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，快速有效解决企业上市难题，</w:t>
      </w:r>
      <w:r>
        <w:rPr>
          <w:rFonts w:hint="eastAsia"/>
          <w:color w:val="000000" w:themeColor="text1"/>
          <w:kern w:val="1"/>
          <w:sz w:val="32"/>
          <w:szCs w:val="32"/>
          <w14:textFill>
            <w14:solidFill>
              <w14:schemeClr w14:val="tx1"/>
            </w14:solidFill>
          </w14:textFill>
        </w:rPr>
        <w:t>加快</w:t>
      </w:r>
      <w:r>
        <w:rPr>
          <w:color w:val="000000" w:themeColor="text1"/>
          <w:kern w:val="0"/>
          <w:sz w:val="32"/>
          <w:szCs w:val="32"/>
          <w14:textFill>
            <w14:solidFill>
              <w14:schemeClr w14:val="tx1"/>
            </w14:solidFill>
          </w14:textFill>
        </w:rPr>
        <w:t>联盛科技、阿尔法药业、正中新材料</w:t>
      </w:r>
      <w:r>
        <w:rPr>
          <w:rFonts w:hint="eastAsia"/>
          <w:color w:val="000000" w:themeColor="text1"/>
          <w:kern w:val="0"/>
          <w:sz w:val="32"/>
          <w:szCs w:val="32"/>
          <w14:textFill>
            <w14:solidFill>
              <w14:schemeClr w14:val="tx1"/>
            </w14:solidFill>
          </w14:textFill>
        </w:rPr>
        <w:t>等企业A股</w:t>
      </w:r>
      <w:r>
        <w:rPr>
          <w:color w:val="000000" w:themeColor="text1"/>
          <w:kern w:val="0"/>
          <w:sz w:val="32"/>
          <w:szCs w:val="32"/>
          <w14:textFill>
            <w14:solidFill>
              <w14:schemeClr w14:val="tx1"/>
            </w14:solidFill>
          </w14:textFill>
        </w:rPr>
        <w:t>上市</w:t>
      </w:r>
      <w:r>
        <w:rPr>
          <w:rFonts w:hint="eastAsia"/>
          <w:color w:val="000000" w:themeColor="text1"/>
          <w:kern w:val="0"/>
          <w:sz w:val="32"/>
          <w:szCs w:val="32"/>
          <w14:textFill>
            <w14:solidFill>
              <w14:schemeClr w14:val="tx1"/>
            </w14:solidFill>
          </w14:textFill>
        </w:rPr>
        <w:t>进度，</w:t>
      </w:r>
      <w:r>
        <w:rPr>
          <w:color w:val="000000" w:themeColor="text1"/>
          <w:sz w:val="32"/>
          <w:szCs w:val="32"/>
          <w14:textFill>
            <w14:solidFill>
              <w14:schemeClr w14:val="tx1"/>
            </w14:solidFill>
          </w14:textFill>
        </w:rPr>
        <w:t>助推全市经济高质量发展，</w:t>
      </w:r>
      <w:r>
        <w:rPr>
          <w:rFonts w:hint="eastAsia"/>
          <w:color w:val="000000" w:themeColor="text1"/>
          <w:sz w:val="32"/>
          <w:szCs w:val="32"/>
          <w14:textFill>
            <w14:solidFill>
              <w14:schemeClr w14:val="tx1"/>
            </w14:solidFill>
          </w14:textFill>
        </w:rPr>
        <w:t>力争“十四五”期间新增上市企业9户以上</w:t>
      </w:r>
      <w:r>
        <w:rPr>
          <w:color w:val="000000" w:themeColor="text1"/>
          <w:sz w:val="32"/>
          <w:szCs w:val="32"/>
          <w14:textFill>
            <w14:solidFill>
              <w14:schemeClr w14:val="tx1"/>
            </w14:solidFill>
          </w14:textFill>
        </w:rPr>
        <w:t>。</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二是进一步</w:t>
      </w:r>
      <w:r>
        <w:rPr>
          <w:b/>
          <w:color w:val="000000" w:themeColor="text1"/>
          <w:sz w:val="32"/>
          <w:szCs w:val="32"/>
          <w14:textFill>
            <w14:solidFill>
              <w14:schemeClr w14:val="tx1"/>
            </w14:solidFill>
          </w14:textFill>
        </w:rPr>
        <w:t>创新上市培育机制。</w:t>
      </w:r>
      <w:r>
        <w:rPr>
          <w:color w:val="000000" w:themeColor="text1"/>
          <w:sz w:val="32"/>
          <w:szCs w:val="32"/>
          <w14:textFill>
            <w14:solidFill>
              <w14:schemeClr w14:val="tx1"/>
            </w14:solidFill>
          </w14:textFill>
        </w:rPr>
        <w:t>建立</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部门抱团培育+产业链企业动态入库</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的新上市培育机制</w:t>
      </w:r>
      <w:r>
        <w:rPr>
          <w:rFonts w:hint="eastAsia"/>
          <w:color w:val="000000" w:themeColor="text1"/>
          <w:sz w:val="32"/>
          <w:szCs w:val="32"/>
          <w14:textFill>
            <w14:solidFill>
              <w14:schemeClr w14:val="tx1"/>
            </w14:solidFill>
          </w14:textFill>
        </w:rPr>
        <w:t>，工信、金融</w:t>
      </w:r>
      <w:r>
        <w:rPr>
          <w:color w:val="000000" w:themeColor="text1"/>
          <w:sz w:val="32"/>
          <w:szCs w:val="32"/>
          <w14:textFill>
            <w14:solidFill>
              <w14:schemeClr w14:val="tx1"/>
            </w14:solidFill>
          </w14:textFill>
        </w:rPr>
        <w:t>、科技等</w:t>
      </w:r>
      <w:r>
        <w:rPr>
          <w:rFonts w:hint="eastAsia"/>
          <w:color w:val="000000" w:themeColor="text1"/>
          <w:sz w:val="32"/>
          <w:szCs w:val="32"/>
          <w14:textFill>
            <w14:solidFill>
              <w14:schemeClr w14:val="tx1"/>
            </w14:solidFill>
          </w14:textFill>
        </w:rPr>
        <w:t>多</w:t>
      </w:r>
      <w:r>
        <w:rPr>
          <w:color w:val="000000" w:themeColor="text1"/>
          <w:sz w:val="32"/>
          <w:szCs w:val="32"/>
          <w14:textFill>
            <w14:solidFill>
              <w14:schemeClr w14:val="tx1"/>
            </w14:solidFill>
          </w14:textFill>
        </w:rPr>
        <w:t>部门</w:t>
      </w:r>
      <w:r>
        <w:rPr>
          <w:rFonts w:hint="eastAsia"/>
          <w:color w:val="000000" w:themeColor="text1"/>
          <w:sz w:val="32"/>
          <w:szCs w:val="32"/>
          <w14:textFill>
            <w14:solidFill>
              <w14:schemeClr w14:val="tx1"/>
            </w14:solidFill>
          </w14:textFill>
        </w:rPr>
        <w:t>联动</w:t>
      </w:r>
      <w:r>
        <w:rPr>
          <w:color w:val="000000" w:themeColor="text1"/>
          <w:sz w:val="32"/>
          <w:szCs w:val="32"/>
          <w14:textFill>
            <w14:solidFill>
              <w14:schemeClr w14:val="tx1"/>
            </w14:solidFill>
          </w14:textFill>
        </w:rPr>
        <w:t>摸排重点</w:t>
      </w:r>
      <w:r>
        <w:rPr>
          <w:rFonts w:hint="eastAsia"/>
          <w:color w:val="000000" w:themeColor="text1"/>
          <w:sz w:val="32"/>
          <w:szCs w:val="32"/>
          <w14:textFill>
            <w14:solidFill>
              <w14:schemeClr w14:val="tx1"/>
            </w14:solidFill>
          </w14:textFill>
        </w:rPr>
        <w:t>上市培育</w:t>
      </w:r>
      <w:r>
        <w:rPr>
          <w:color w:val="000000" w:themeColor="text1"/>
          <w:sz w:val="32"/>
          <w:szCs w:val="32"/>
          <w14:textFill>
            <w14:solidFill>
              <w14:schemeClr w14:val="tx1"/>
            </w14:solidFill>
          </w14:textFill>
        </w:rPr>
        <w:t>企业名单，实现多部门通力协作、兵团作战，推动上市企业后备库与</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专精特新</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产业库、高新技术企业库、农业龙头企业库多库融合</w:t>
      </w:r>
      <w:r>
        <w:rPr>
          <w:rFonts w:hint="eastAsia"/>
          <w:color w:val="000000" w:themeColor="text1"/>
          <w:sz w:val="32"/>
          <w:szCs w:val="32"/>
          <w14:textFill>
            <w14:solidFill>
              <w14:schemeClr w14:val="tx1"/>
            </w14:solidFill>
          </w14:textFill>
        </w:rPr>
        <w:t>。整合风险投资、专业咨询、一站式服务、高效共享的研发实验室和检验检测平台等资源，为拟上市企业提供赋能式服务，优先推动一批</w:t>
      </w:r>
      <w:r>
        <w:rPr>
          <w:color w:val="000000" w:themeColor="text1"/>
          <w:sz w:val="32"/>
          <w:szCs w:val="32"/>
          <w14:textFill>
            <w14:solidFill>
              <w14:schemeClr w14:val="tx1"/>
            </w14:solidFill>
          </w14:textFill>
        </w:rPr>
        <w:t>上市意愿</w:t>
      </w:r>
      <w:r>
        <w:rPr>
          <w:rFonts w:hint="eastAsia"/>
          <w:color w:val="000000" w:themeColor="text1"/>
          <w:sz w:val="32"/>
          <w:szCs w:val="32"/>
          <w14:textFill>
            <w14:solidFill>
              <w14:schemeClr w14:val="tx1"/>
            </w14:solidFill>
          </w14:textFill>
        </w:rPr>
        <w:t>强的独角兽企业及瞪羚企业达到上市条件，努力</w:t>
      </w:r>
      <w:r>
        <w:rPr>
          <w:color w:val="000000" w:themeColor="text1"/>
          <w:sz w:val="32"/>
          <w:szCs w:val="32"/>
          <w14:textFill>
            <w14:solidFill>
              <w14:schemeClr w14:val="tx1"/>
            </w14:solidFill>
          </w14:textFill>
        </w:rPr>
        <w:t>形成培育一批、股改一批、辅导一批、上市一批的梯次滚动发展格局。</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三是</w:t>
      </w:r>
      <w:r>
        <w:rPr>
          <w:b/>
          <w:color w:val="000000" w:themeColor="text1"/>
          <w:sz w:val="32"/>
          <w:szCs w:val="32"/>
          <w14:textFill>
            <w14:solidFill>
              <w14:schemeClr w14:val="tx1"/>
            </w14:solidFill>
          </w14:textFill>
        </w:rPr>
        <w:t>强化上市宣传引导。</w:t>
      </w:r>
      <w:r>
        <w:rPr>
          <w:color w:val="000000" w:themeColor="text1"/>
          <w:sz w:val="32"/>
          <w:szCs w:val="32"/>
          <w14:textFill>
            <w14:solidFill>
              <w14:schemeClr w14:val="tx1"/>
            </w14:solidFill>
          </w14:textFill>
        </w:rPr>
        <w:t>加大企业上市宣传力度，开展高频率、全方位上市宣传和政策引导，介绍相关政策法规，及时报道</w:t>
      </w:r>
      <w:r>
        <w:rPr>
          <w:rFonts w:hint="eastAsia"/>
          <w:color w:val="000000" w:themeColor="text1"/>
          <w:sz w:val="32"/>
          <w:szCs w:val="32"/>
          <w14:textFill>
            <w14:solidFill>
              <w14:schemeClr w14:val="tx1"/>
            </w14:solidFill>
          </w14:textFill>
        </w:rPr>
        <w:t>宿迁</w:t>
      </w:r>
      <w:r>
        <w:rPr>
          <w:color w:val="000000" w:themeColor="text1"/>
          <w:sz w:val="32"/>
          <w:szCs w:val="32"/>
          <w14:textFill>
            <w14:solidFill>
              <w14:schemeClr w14:val="tx1"/>
            </w14:solidFill>
          </w14:textFill>
        </w:rPr>
        <w:t>上市工作成效和经验，提高企业上市认知，增强企业上市信心；发挥典型示范作用，邀请成功上市的企业家讲解上市给企业带来的发展和机遇，让更多企业家实现从</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要我上市</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到</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我要上市</w:t>
      </w:r>
      <w:r>
        <w:rPr>
          <w:rFonts w:hint="eastAsia"/>
          <w:color w:val="000000" w:themeColor="text1"/>
          <w:sz w:val="32"/>
          <w:szCs w:val="32"/>
          <w14:textFill>
            <w14:solidFill>
              <w14:schemeClr w14:val="tx1"/>
            </w14:solidFill>
          </w14:textFill>
        </w:rPr>
        <w:t>”</w:t>
      </w:r>
      <w:r>
        <w:rPr>
          <w:color w:val="000000" w:themeColor="text1"/>
          <w:sz w:val="32"/>
          <w:szCs w:val="32"/>
          <w14:textFill>
            <w14:solidFill>
              <w14:schemeClr w14:val="tx1"/>
            </w14:solidFill>
          </w14:textFill>
        </w:rPr>
        <w:t>的观念转变，共同营造企业上市的良好氛围。</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580" w:lineRule="exact"/>
              <w:jc w:val="center"/>
              <w:rPr>
                <w:rFonts w:eastAsia="方正黑体_GBK"/>
                <w:color w:val="000000" w:themeColor="text1"/>
                <w:kern w:val="0"/>
                <w:sz w:val="28"/>
                <w:szCs w:val="28"/>
                <w14:textFill>
                  <w14:solidFill>
                    <w14:schemeClr w14:val="tx1"/>
                  </w14:solidFill>
                </w14:textFill>
              </w:rPr>
            </w:pPr>
            <w:r>
              <w:rPr>
                <w:rFonts w:eastAsia="方正黑体_GBK"/>
                <w:color w:val="000000" w:themeColor="text1"/>
                <w:kern w:val="0"/>
                <w:sz w:val="28"/>
                <w:szCs w:val="28"/>
                <w14:textFill>
                  <w14:solidFill>
                    <w14:schemeClr w14:val="tx1"/>
                  </w14:solidFill>
                </w14:textFill>
              </w:rPr>
              <w:t>专栏6-</w:t>
            </w:r>
            <w:r>
              <w:rPr>
                <w:rFonts w:hint="eastAsia" w:eastAsia="方正黑体_GBK"/>
                <w:color w:val="000000" w:themeColor="text1"/>
                <w:kern w:val="0"/>
                <w:sz w:val="28"/>
                <w:szCs w:val="28"/>
                <w14:textFill>
                  <w14:solidFill>
                    <w14:schemeClr w14:val="tx1"/>
                  </w14:solidFill>
                </w14:textFill>
              </w:rPr>
              <w:t>3  “5321”工程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00" w:lineRule="exact"/>
              <w:ind w:firstLine="560" w:firstLineChars="200"/>
              <w:rPr>
                <w:color w:val="000000" w:themeColor="text1"/>
                <w:kern w:val="0"/>
                <w:sz w:val="28"/>
                <w:szCs w:val="28"/>
                <w14:textFill>
                  <w14:solidFill>
                    <w14:schemeClr w14:val="tx1"/>
                  </w14:solidFill>
                </w14:textFill>
              </w:rPr>
            </w:pPr>
            <w:r>
              <w:rPr>
                <w:rFonts w:hint="eastAsia" w:cs="方正仿宋_GBK"/>
                <w:color w:val="000000" w:themeColor="text1"/>
                <w:sz w:val="28"/>
                <w:szCs w:val="32"/>
                <w14:textFill>
                  <w14:solidFill>
                    <w14:schemeClr w14:val="tx1"/>
                  </w14:solidFill>
                </w14:textFill>
              </w:rPr>
              <w:t>围绕建设长三角先进制造业基地、“四化”同步集成改革示范区，以构建“6+3+X”制造业产业体系、培育壮大20条重点产业链、打造地标性产业集群为目标，按照“千亿领航、百亿壮大、十亿升级、小微成长”思路，做大总量、拓展增量、优化存量、提高质量，更加突出高端化集群化数字化智能化绿色化发展要求，全面实施“5321”工程，推进规模发展、技术改造、创新驱动、数字转型、平台支撑五大提升行动，到2023年，实现工业销售收入超5000亿元，创建智能车间300个，每年新增三星级以上“上云”企业200户，实施设备投资超千万元技术改造项目1000个。</w:t>
            </w:r>
          </w:p>
        </w:tc>
      </w:tr>
    </w:tbl>
    <w:p>
      <w:pPr>
        <w:pStyle w:val="8"/>
        <w:spacing w:before="156" w:beforeLines="5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五、加强品牌质量标准建设</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一是持续实施品牌质量提升行动。</w:t>
      </w:r>
      <w:r>
        <w:rPr>
          <w:rFonts w:hint="eastAsia"/>
          <w:color w:val="000000" w:themeColor="text1"/>
          <w:sz w:val="32"/>
          <w:szCs w:val="32"/>
          <w14:textFill>
            <w14:solidFill>
              <w14:schemeClr w14:val="tx1"/>
            </w14:solidFill>
          </w14:textFill>
        </w:rPr>
        <w:t>积极做好品牌培育试点示范工作，强化企业质量和品牌意识，鼓励和支持初创期科技型中小企业、民营企业创建自主品牌，积极组织和参与质量奖评选、江苏省工业企业质量信用等级评定、“江苏精品”认证等多种形式的质量创优活动，推动宿迁特色品牌向中高端发展。</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二是积极实施“</w:t>
      </w:r>
      <w:r>
        <w:rPr>
          <w:rFonts w:hint="eastAsia" w:ascii="方正仿宋_GBK"/>
          <w:b/>
          <w:color w:val="000000" w:themeColor="text1"/>
          <w:sz w:val="32"/>
          <w:szCs w:val="32"/>
          <w14:textFill>
            <w14:solidFill>
              <w14:schemeClr w14:val="tx1"/>
            </w14:solidFill>
          </w14:textFill>
        </w:rPr>
        <w:t>标准化+</w:t>
      </w:r>
      <w:r>
        <w:rPr>
          <w:rFonts w:hint="eastAsia"/>
          <w:b/>
          <w:color w:val="000000" w:themeColor="text1"/>
          <w:sz w:val="32"/>
          <w:szCs w:val="32"/>
          <w14:textFill>
            <w14:solidFill>
              <w14:schemeClr w14:val="tx1"/>
            </w14:solidFill>
          </w14:textFill>
        </w:rPr>
        <w:t>”行动。</w:t>
      </w:r>
      <w:r>
        <w:rPr>
          <w:rFonts w:hint="eastAsia"/>
          <w:color w:val="000000" w:themeColor="text1"/>
          <w:sz w:val="32"/>
          <w:szCs w:val="32"/>
          <w14:textFill>
            <w14:solidFill>
              <w14:schemeClr w14:val="tx1"/>
            </w14:solidFill>
          </w14:textFill>
        </w:rPr>
        <w:t>加强企业技术标准、工艺标准和产品标准的研究、制定、采用、监管工作，加快国际先进标准的引进和推广，大力推进标准化试点示范，以企业生产经营的标准化防止问题产品、缺陷产品进入市场，倒逼企业追赶超越国际先进质量水平。</w:t>
      </w:r>
    </w:p>
    <w:p>
      <w:pPr>
        <w:spacing w:line="580" w:lineRule="exact"/>
        <w:ind w:firstLine="643" w:firstLineChars="200"/>
        <w:rPr>
          <w:color w:val="000000" w:themeColor="text1"/>
          <w:sz w:val="32"/>
          <w:szCs w:val="32"/>
          <w14:textFill>
            <w14:solidFill>
              <w14:schemeClr w14:val="tx1"/>
            </w14:solidFill>
          </w14:textFill>
        </w:rPr>
      </w:pPr>
      <w:r>
        <w:rPr>
          <w:b/>
          <w:color w:val="000000" w:themeColor="text1"/>
          <w:sz w:val="32"/>
          <w:szCs w:val="32"/>
          <w14:textFill>
            <w14:solidFill>
              <w14:schemeClr w14:val="tx1"/>
            </w14:solidFill>
          </w14:textFill>
        </w:rPr>
        <w:t>三是打造区域品牌。</w:t>
      </w:r>
      <w:r>
        <w:rPr>
          <w:color w:val="000000" w:themeColor="text1"/>
          <w:sz w:val="32"/>
          <w:szCs w:val="32"/>
          <w14:textFill>
            <w14:solidFill>
              <w14:schemeClr w14:val="tx1"/>
            </w14:solidFill>
          </w14:textFill>
        </w:rPr>
        <w:t>聚焦重点产业链领域，组织高层次产业互动交流，在宿迁主办全国性的产业发展高端论坛，努力打造全国知名、行业领先的永久论坛，扩大宿迁中国酒都、光伏之都、新兴纺都影响力。</w:t>
      </w:r>
    </w:p>
    <w:p>
      <w:pPr>
        <w:spacing w:line="580" w:lineRule="exact"/>
        <w:ind w:firstLine="321"/>
        <w:rPr>
          <w:rFonts w:eastAsia="方正楷体_GBK"/>
          <w:b/>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56" w:name="_Toc75019428"/>
      <w:bookmarkStart w:id="57" w:name="_Toc26016"/>
      <w:r>
        <w:rPr>
          <w:rFonts w:hint="eastAsia" w:ascii="Times New Roman" w:hAnsi="Times New Roman" w:eastAsia="方正楷体_GBK"/>
          <w:b w:val="0"/>
          <w:color w:val="000000" w:themeColor="text1"/>
          <w14:textFill>
            <w14:solidFill>
              <w14:schemeClr w14:val="tx1"/>
            </w14:solidFill>
          </w14:textFill>
        </w:rPr>
        <w:t xml:space="preserve">第三节  </w:t>
      </w:r>
      <w:bookmarkEnd w:id="56"/>
      <w:r>
        <w:rPr>
          <w:rFonts w:hint="eastAsia" w:ascii="Times New Roman" w:hAnsi="Times New Roman" w:eastAsia="方正楷体_GBK"/>
          <w:b w:val="0"/>
          <w:color w:val="000000" w:themeColor="text1"/>
          <w14:textFill>
            <w14:solidFill>
              <w14:schemeClr w14:val="tx1"/>
            </w14:solidFill>
          </w14:textFill>
        </w:rPr>
        <w:t>切实增强科技创新动能</w:t>
      </w:r>
      <w:bookmarkEnd w:id="57"/>
    </w:p>
    <w:p>
      <w:pPr>
        <w:spacing w:line="580" w:lineRule="exact"/>
        <w:rPr>
          <w:rFonts w:eastAsia="方正楷体_GBK"/>
          <w:b/>
          <w:color w:val="000000" w:themeColor="text1"/>
          <w:sz w:val="32"/>
          <w:szCs w:val="32"/>
          <w14:textFill>
            <w14:solidFill>
              <w14:schemeClr w14:val="tx1"/>
            </w14:solidFill>
          </w14:textFill>
        </w:rPr>
      </w:pP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一、激发企业创新创业活力</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一是激发企业家创新能动性。</w:t>
      </w:r>
      <w:r>
        <w:rPr>
          <w:rFonts w:hint="eastAsia"/>
          <w:color w:val="000000" w:themeColor="text1"/>
          <w:sz w:val="32"/>
          <w:szCs w:val="32"/>
          <w14:textFill>
            <w14:solidFill>
              <w14:schemeClr w14:val="tx1"/>
            </w14:solidFill>
          </w14:textFill>
        </w:rPr>
        <w:t>依法保护企业家财产权、创新权和自主经营权，重点保障民营企业享有平等的市场地位，公平参与市场竞争；依托市工商联、企业家协会等组织，开展优秀企业家评选活动，对创新意识强、创新贡献大的企业家给予适当奖励、荣誉及政治待遇，激发企业家创新精神和合作精神。有针对性的对企业开展知识产权宣传和引导，实施高新技术企业发明专利“清零计划”，鼓励高新技术企业开展技术研发及专利申报，对“零发明专利”的高新技术企业首次申请发明专利，成功获批专利权后给予一定资金奖励，力争每年新增拥有发明专利企业50户以上。</w:t>
      </w:r>
    </w:p>
    <w:p>
      <w:pPr>
        <w:spacing w:line="580" w:lineRule="exact"/>
        <w:ind w:firstLine="643" w:firstLineChars="20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二是高水平配置创新资源。</w:t>
      </w:r>
      <w:r>
        <w:rPr>
          <w:rFonts w:hint="eastAsia"/>
          <w:color w:val="000000" w:themeColor="text1"/>
          <w:sz w:val="32"/>
          <w:szCs w:val="32"/>
          <w14:textFill>
            <w14:solidFill>
              <w14:schemeClr w14:val="tx1"/>
            </w14:solidFill>
          </w14:textFill>
        </w:rPr>
        <w:t>实施产业链头部企业市级以上研发机构全覆盖计划，探索市级科技、工信部门企业研发机构统标互认，统筹资源、简化程序、便利企业，到2025年新增市级以上研发机构700个以上。争取省科研机构与我市建立长效挂钩帮扶机制，鼓励在宿建设分支机构，同时在人才引进、技术培训、科研成果转化等方面开展全面合作，促进我市科研机构水平和成果转化能力提升。</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三是支持本土企业与高端创新资源对接互动。</w:t>
      </w:r>
      <w:r>
        <w:rPr>
          <w:rFonts w:hint="eastAsia"/>
          <w:color w:val="000000" w:themeColor="text1"/>
          <w:sz w:val="32"/>
          <w:szCs w:val="32"/>
          <w14:textFill>
            <w14:solidFill>
              <w14:schemeClr w14:val="tx1"/>
            </w14:solidFill>
          </w14:textFill>
        </w:rPr>
        <w:t>深入开展“校企合作”“宿迁科技创新创业大赛”等活动，搭建本土企业与国内外高端创新资源、专业化科技中介机构等对接互动平台，提高产业需求与科技成果的匹配性和契合度。引导和推动企业与科研院所合作，加快引进科技型企业和科技服务机构、团队，支持龙头企业和科研院所等机构牵头组建制造业创新中心等重大科创平台。</w:t>
      </w:r>
    </w:p>
    <w:p>
      <w:pPr>
        <w:pStyle w:val="8"/>
        <w:spacing w:before="156" w:beforeLines="5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二、推动企业实施技术改造</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一是实施“千企技改”工程。</w:t>
      </w:r>
      <w:r>
        <w:rPr>
          <w:rFonts w:hint="eastAsia"/>
          <w:color w:val="000000" w:themeColor="text1"/>
          <w:sz w:val="32"/>
          <w:szCs w:val="32"/>
          <w14:textFill>
            <w14:solidFill>
              <w14:schemeClr w14:val="tx1"/>
            </w14:solidFill>
          </w14:textFill>
        </w:rPr>
        <w:t>充分发挥技术改造对于制造业稳增长、调结构、促转型的关键作用，以高端化、智能化、绿色化、服务化为主要方向，鼓励和引导企业采用新技术、新工艺、新设备、新材料进行大规模技术改造，支持重大科技创新成果、先进自主技术装备、工业自动控制系统等高端技术和装备在企业的规模化应用。围绕主导产业转型升级和先导产业培育，组织实施一批超亿元重大技术改造项目，每年实施设备投资超千万元技术改造项目300个以上。</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二是以技改提升产业基础能力。</w:t>
      </w:r>
      <w:r>
        <w:rPr>
          <w:rFonts w:hint="eastAsia"/>
          <w:color w:val="000000" w:themeColor="text1"/>
          <w:sz w:val="32"/>
          <w:szCs w:val="32"/>
          <w14:textFill>
            <w14:solidFill>
              <w14:schemeClr w14:val="tx1"/>
            </w14:solidFill>
          </w14:textFill>
        </w:rPr>
        <w:t>以自主可控、安全高效为目标，主动对接省产业链基础能力升级行动，紧盯20条重点产业链，组织梳理核心基础零部件和元器件、先进基础工艺、关键基础材料、产业技术基础等“四基”和工业基础软件的薄弱环节实施一批强基工程项目，加快补齐产业基础短板，提升工业基础能力。</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三是持续优化技改项目服务。</w:t>
      </w:r>
      <w:r>
        <w:rPr>
          <w:rFonts w:hint="eastAsia"/>
          <w:color w:val="000000" w:themeColor="text1"/>
          <w:sz w:val="32"/>
          <w:szCs w:val="32"/>
          <w14:textFill>
            <w14:solidFill>
              <w14:schemeClr w14:val="tx1"/>
            </w14:solidFill>
          </w14:textFill>
        </w:rPr>
        <w:t>围绕高端纺织、晶硅光伏、新一代信息技术、生物医药、激光装备等重点行业，大力开拓项目源，建立动态跟踪、分级管理的项目储备制度，分行业、分投向建立项目清单，滚动摸排一批支撑带动性强、引领效应明显的重大项目。强化动态跟踪分析，对总投资</w:t>
      </w:r>
      <w:r>
        <w:rPr>
          <w:color w:val="000000" w:themeColor="text1"/>
          <w:sz w:val="32"/>
          <w:szCs w:val="32"/>
          <w14:textFill>
            <w14:solidFill>
              <w14:schemeClr w14:val="tx1"/>
            </w14:solidFill>
          </w14:textFill>
        </w:rPr>
        <w:t>500</w:t>
      </w:r>
      <w:r>
        <w:rPr>
          <w:rFonts w:hint="eastAsia"/>
          <w:color w:val="000000" w:themeColor="text1"/>
          <w:sz w:val="32"/>
          <w:szCs w:val="32"/>
          <w14:textFill>
            <w14:solidFill>
              <w14:schemeClr w14:val="tx1"/>
            </w14:solidFill>
          </w14:textFill>
        </w:rPr>
        <w:t>万元以上技术改造项目，按月跟踪分析项目建设进展情况，切实做好项目投资入库列统工作。健全项目协调推进机制，加强资金、土地、劳动、能耗指标、污染排放指标等项目要素协调和跟踪服务，及时发现掌握、协调解决项目建设中存在的困难和问题，切实加快项目建设进度。</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三、增强企业创新链主导力</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一是强化企业在创新链中的主体地位。</w:t>
      </w:r>
      <w:r>
        <w:rPr>
          <w:rFonts w:hint="eastAsia"/>
          <w:color w:val="000000" w:themeColor="text1"/>
          <w:sz w:val="32"/>
          <w:szCs w:val="32"/>
          <w14:textFill>
            <w14:solidFill>
              <w14:schemeClr w14:val="tx1"/>
            </w14:solidFill>
          </w14:textFill>
        </w:rPr>
        <w:t>由创新资源整合能力强的行业龙头骨干企业牵头，建立创新核心层、紧密合作层、一般协作层，促进产业链内大中小创新单元共同参与，构建体系化、任务型的创新合作组织和利益共同体。实施科技综合体提质工程，加快建成产业链、创新链、金融链、服务链“四链一体融合”的地标式科技综合体，每年新增入孵科技型企业100户以上。</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二是推广技术创新过程管控模式。</w:t>
      </w:r>
      <w:r>
        <w:rPr>
          <w:rFonts w:hint="eastAsia"/>
          <w:color w:val="000000" w:themeColor="text1"/>
          <w:sz w:val="32"/>
          <w:szCs w:val="32"/>
          <w14:textFill>
            <w14:solidFill>
              <w14:schemeClr w14:val="tx1"/>
            </w14:solidFill>
          </w14:textFill>
        </w:rPr>
        <w:t>鼓励企业对新研发项目从立项、研发、验收、评审等方面实施严格科学的程序化管理，促进企业更好地发挥在技术创新决策、研发投入、科研组织、成果转化的主体作用。</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三是推动企业走自主创新道路。</w:t>
      </w:r>
      <w:r>
        <w:rPr>
          <w:rFonts w:hint="eastAsia"/>
          <w:color w:val="000000" w:themeColor="text1"/>
          <w:sz w:val="32"/>
          <w:szCs w:val="32"/>
          <w14:textFill>
            <w14:solidFill>
              <w14:schemeClr w14:val="tx1"/>
            </w14:solidFill>
          </w14:textFill>
        </w:rPr>
        <w:t>鼓励和支持企业加大研发投入力度，瞄准高品质的产品定位，实施核心技术和核心部件自主研制，以国外同行业龙头企业垄断的产品和技术作为研发重点，凝聚企业竞争核心资源，增强企业核心竞争力。</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四、实施重大技术攻关工程</w:t>
      </w:r>
    </w:p>
    <w:p>
      <w:pPr>
        <w:pStyle w:val="2"/>
        <w:spacing w:before="0" w:beforeAutospacing="0" w:line="580" w:lineRule="exact"/>
        <w:ind w:firstLine="643" w:firstLineChars="200"/>
        <w:rPr>
          <w:rFonts w:ascii="Times New Roman" w:hAnsi="Times New Roman" w:eastAsia="方正仿宋_GBK"/>
          <w:b w:val="0"/>
          <w:bCs w:val="0"/>
          <w:color w:val="000000" w:themeColor="text1"/>
          <w:sz w:val="32"/>
          <w:szCs w:val="32"/>
          <w:lang w:val="en-US" w:bidi="ar-SA"/>
          <w14:textFill>
            <w14:solidFill>
              <w14:schemeClr w14:val="tx1"/>
            </w14:solidFill>
          </w14:textFill>
        </w:rPr>
      </w:pPr>
      <w:r>
        <w:rPr>
          <w:rFonts w:hint="eastAsia" w:ascii="Times New Roman" w:hAnsi="Times New Roman" w:eastAsia="方正仿宋_GBK"/>
          <w:color w:val="000000" w:themeColor="text1"/>
          <w:sz w:val="32"/>
          <w:szCs w:val="32"/>
          <w14:textFill>
            <w14:solidFill>
              <w14:schemeClr w14:val="tx1"/>
            </w14:solidFill>
          </w14:textFill>
        </w:rPr>
        <w:t>一是发挥政府引导作用。</w:t>
      </w:r>
      <w:r>
        <w:rPr>
          <w:rFonts w:hint="eastAsia" w:ascii="Times New Roman" w:hAnsi="Times New Roman" w:eastAsia="方正仿宋_GBK"/>
          <w:b w:val="0"/>
          <w:color w:val="000000" w:themeColor="text1"/>
          <w:sz w:val="32"/>
          <w:szCs w:val="32"/>
          <w14:textFill>
            <w14:solidFill>
              <w14:schemeClr w14:val="tx1"/>
            </w14:solidFill>
          </w14:textFill>
        </w:rPr>
        <w:t>以实现产业自主可控发展为目标，通过科学统筹、集中力量、优化机制的组织方式，发挥政府在重大技术攻关项目实施过程中统筹协调配置资源，聚焦光伏、新型电池、纺织、食品、膜材料等重点产业的核心技术领域，加大财政资金投入力度，</w:t>
      </w:r>
      <w:r>
        <w:rPr>
          <w:rFonts w:hint="eastAsia" w:ascii="Times New Roman" w:hAnsi="Times New Roman" w:eastAsia="方正仿宋_GBK"/>
          <w:b w:val="0"/>
          <w:bCs w:val="0"/>
          <w:color w:val="000000" w:themeColor="text1"/>
          <w:sz w:val="32"/>
          <w:szCs w:val="32"/>
          <w:lang w:val="en-US" w:bidi="ar-SA"/>
          <w14:textFill>
            <w14:solidFill>
              <w14:schemeClr w14:val="tx1"/>
            </w14:solidFill>
          </w14:textFill>
        </w:rPr>
        <w:t>探索采取“技术悬赏”“揭榜挂帅”等方式，支持龙头企业和科研平台补齐技术短板、锻造独门绝技，每年实施20项以上重点研发计划，</w:t>
      </w:r>
      <w:r>
        <w:rPr>
          <w:rFonts w:hint="eastAsia" w:ascii="Times New Roman" w:hAnsi="Times New Roman" w:eastAsia="方正仿宋_GBK"/>
          <w:b w:val="0"/>
          <w:color w:val="000000" w:themeColor="text1"/>
          <w:sz w:val="32"/>
          <w:szCs w:val="32"/>
          <w14:textFill>
            <w14:solidFill>
              <w14:schemeClr w14:val="tx1"/>
            </w14:solidFill>
          </w14:textFill>
        </w:rPr>
        <w:t>推动一批重大创新成果形成目标产品、快速实现产业化。</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二是发挥市场机制作用。</w:t>
      </w:r>
      <w:r>
        <w:rPr>
          <w:rFonts w:hint="eastAsia"/>
          <w:color w:val="000000" w:themeColor="text1"/>
          <w:sz w:val="32"/>
          <w:szCs w:val="32"/>
          <w14:textFill>
            <w14:solidFill>
              <w14:schemeClr w14:val="tx1"/>
            </w14:solidFill>
          </w14:textFill>
        </w:rPr>
        <w:t>强化企业作为科技创新的主体力量，鼓励企业牵头，联合科研院所、风险资本、产业投资资金等社会资本，瞄准制约产业发展的卡脖子关键技术，共同投资技术研发与创新成果产业化，努力形成多元化、多渠道的科技投入体系，使资源配置效益最大化和效率最优化。</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三是发挥平台桥梁作用。</w:t>
      </w:r>
      <w:r>
        <w:rPr>
          <w:rFonts w:hint="eastAsia"/>
          <w:color w:val="000000" w:themeColor="text1"/>
          <w:sz w:val="32"/>
          <w:szCs w:val="32"/>
          <w14:textFill>
            <w14:solidFill>
              <w14:schemeClr w14:val="tx1"/>
            </w14:solidFill>
          </w14:textFill>
        </w:rPr>
        <w:t>积极对接国家和省产业创新平台，加强本市创新平台建设，围绕酿造（酒）、膜材料、激光装备等重点产业链优先建设制造业创新中心、产业创新中心、产业研究院等协同创新中心，加快建设“省应用创新示范区”。鼓励企业主动在高端创新平台上发布技术需求信息，借力平台招引吸聚国内外高端创新资源，推进关键性技术和共性技术攻关。</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五、推进科技创新成果转化</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一是完善成果遴选和推广应用机制。</w:t>
      </w:r>
      <w:r>
        <w:rPr>
          <w:rFonts w:hint="eastAsia"/>
          <w:color w:val="000000" w:themeColor="text1"/>
          <w:sz w:val="32"/>
          <w:szCs w:val="32"/>
          <w14:textFill>
            <w14:solidFill>
              <w14:schemeClr w14:val="tx1"/>
            </w14:solidFill>
          </w14:textFill>
        </w:rPr>
        <w:t>支持技术转移机构开展技术转移服务，鼓励企业和社会资本参与建设技术集成、熟化和工程化等孵化基地，建立健全技术转移、技术交易和产业化服务体系建设；完善以专利为重点的知识产权应用机制，显著提高知识产权创造、运用能力，加快创新成果向现实生产力转化。</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二是完善成果转化协同推进机制。</w:t>
      </w:r>
      <w:r>
        <w:rPr>
          <w:rFonts w:hint="eastAsia"/>
          <w:color w:val="000000" w:themeColor="text1"/>
          <w:sz w:val="32"/>
          <w:szCs w:val="32"/>
          <w14:textFill>
            <w14:solidFill>
              <w14:schemeClr w14:val="tx1"/>
            </w14:solidFill>
          </w14:textFill>
        </w:rPr>
        <w:t>集成各类政府资金、各项扶持政策等对重大产业化项目实行重点持续支持，引导产学研用加强科技成果转化合作。支持企业和高等院校、科研院所积极申报国家级省级重大产业优化项目，加快新产品应用推广，支持本地创新产品进入政府采购目录，完善并落实重大装备首台套研发生产激励政策。借鉴浙江“逆飞地经济”模式，加快发展宿迁（上海）协同创新基地建设，鼓励企业建设离岸研发基地，探索“研发孵化在飞地，产业化在本地”的模式，更深层次融入长三角产业分工。</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三是优化科技创新创业生态。</w:t>
      </w:r>
      <w:r>
        <w:rPr>
          <w:rFonts w:hint="eastAsia"/>
          <w:color w:val="000000" w:themeColor="text1"/>
          <w:sz w:val="32"/>
          <w:szCs w:val="32"/>
          <w14:textFill>
            <w14:solidFill>
              <w14:schemeClr w14:val="tx1"/>
            </w14:solidFill>
          </w14:textFill>
        </w:rPr>
        <w:t>加快建设国家级知识产权保护中心，实现专利快速预审、快速确权、快速维权一体化服务。通过设立科技成果转化资金、培养职业技术经纪人等方式加快科技成果转化，探索制定规范、合理、有效的单位科技成果转化收入分配和激励制度，建立以知识价值为导向的利益分配保障机制，进一步激发科研人员创新创业的积极性。</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580" w:lineRule="exact"/>
              <w:jc w:val="center"/>
              <w:rPr>
                <w:rFonts w:eastAsia="方正黑体_GBK"/>
                <w:color w:val="000000" w:themeColor="text1"/>
                <w:kern w:val="0"/>
                <w:sz w:val="28"/>
                <w:szCs w:val="28"/>
                <w14:textFill>
                  <w14:solidFill>
                    <w14:schemeClr w14:val="tx1"/>
                  </w14:solidFill>
                </w14:textFill>
              </w:rPr>
            </w:pPr>
            <w:r>
              <w:rPr>
                <w:rFonts w:eastAsia="方正黑体_GBK"/>
                <w:color w:val="000000" w:themeColor="text1"/>
                <w:kern w:val="0"/>
                <w:sz w:val="28"/>
                <w:szCs w:val="28"/>
                <w14:textFill>
                  <w14:solidFill>
                    <w14:schemeClr w14:val="tx1"/>
                  </w14:solidFill>
                </w14:textFill>
              </w:rPr>
              <w:t>专栏6-</w:t>
            </w:r>
            <w:r>
              <w:rPr>
                <w:rFonts w:hint="eastAsia" w:eastAsia="方正黑体_GBK"/>
                <w:color w:val="000000" w:themeColor="text1"/>
                <w:kern w:val="0"/>
                <w:sz w:val="28"/>
                <w:szCs w:val="28"/>
                <w14:textFill>
                  <w14:solidFill>
                    <w14:schemeClr w14:val="tx1"/>
                  </w14:solidFill>
                </w14:textFill>
              </w:rPr>
              <w:t>4  实施创新驱动提升行动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00" w:lineRule="exact"/>
              <w:ind w:firstLine="560" w:firstLineChars="200"/>
              <w:rPr>
                <w:rFonts w:eastAsia="方正黑体_GBK"/>
                <w:color w:val="000000" w:themeColor="text1"/>
                <w:spacing w:val="-2"/>
                <w:kern w:val="0"/>
                <w:sz w:val="28"/>
                <w:szCs w:val="28"/>
                <w14:textFill>
                  <w14:solidFill>
                    <w14:schemeClr w14:val="tx1"/>
                  </w14:solidFill>
                </w14:textFill>
              </w:rPr>
            </w:pPr>
            <w:r>
              <w:rPr>
                <w:rFonts w:hint="eastAsia" w:cs="方正仿宋_GBK"/>
                <w:color w:val="000000" w:themeColor="text1"/>
                <w:sz w:val="28"/>
                <w:szCs w:val="32"/>
                <w14:textFill>
                  <w14:solidFill>
                    <w14:schemeClr w14:val="tx1"/>
                  </w14:solidFill>
                </w14:textFill>
              </w:rPr>
              <w:t>大力实施创新驱动发展战略，编制产业链核心技术装备清单，集中力量组织攻关和引进，提高创新链整体效能，推动产业链上中下游、大中小企业融通协同创新，实施攻关项目60项以上。引导和推动企业与科研院所合作，加大研发投入，促进科技成果转化，新认定高新技术企业300户以上、省级以上新产品新技术600个以上、转化高科技成果1000项以上、市级以上研发机构500个以上，全市高新技术产业产值占规上工业总产值50%以上。</w:t>
            </w:r>
            <w:r>
              <w:rPr>
                <w:rFonts w:hint="eastAsia" w:cs="方正仿宋_GBK"/>
                <w:color w:val="000000" w:themeColor="text1"/>
                <w:sz w:val="28"/>
                <w:szCs w:val="32"/>
                <w:shd w:val="clear" w:color="auto" w:fill="FFFFFF"/>
                <w14:textFill>
                  <w14:solidFill>
                    <w14:schemeClr w14:val="tx1"/>
                  </w14:solidFill>
                </w14:textFill>
              </w:rPr>
              <w:t>实施科技综合体提质工程，新增入孵科技型企业300户以上。</w:t>
            </w:r>
            <w:r>
              <w:rPr>
                <w:rFonts w:hint="eastAsia" w:cs="方正仿宋_GBK"/>
                <w:color w:val="000000" w:themeColor="text1"/>
                <w:sz w:val="28"/>
                <w:szCs w:val="32"/>
                <w14:textFill>
                  <w14:solidFill>
                    <w14:schemeClr w14:val="tx1"/>
                  </w14:solidFill>
                </w14:textFill>
              </w:rPr>
              <w:t>实施标准领航、质量提升、品牌打造工程，支持企业参与国际、国家和行业标准制（修）订，培育标准领航产品，提升产品质量水平，打造一批优势品牌，每年力争新增“江苏精品”3个、“宿迁精品”20个，市长质量奖（优秀质量管理奖）15个，力争实现中国质量奖零的突破。</w:t>
            </w:r>
          </w:p>
        </w:tc>
      </w:tr>
    </w:tbl>
    <w:p>
      <w:pPr>
        <w:spacing w:line="580" w:lineRule="exact"/>
        <w:rPr>
          <w:rFonts w:eastAsia="方正楷体_GBK"/>
          <w:b/>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58" w:name="_Toc75019429"/>
      <w:bookmarkStart w:id="59" w:name="_Toc26894"/>
      <w:r>
        <w:rPr>
          <w:rFonts w:hint="eastAsia" w:ascii="Times New Roman" w:hAnsi="Times New Roman" w:eastAsia="方正楷体_GBK"/>
          <w:b w:val="0"/>
          <w:color w:val="000000" w:themeColor="text1"/>
          <w14:textFill>
            <w14:solidFill>
              <w14:schemeClr w14:val="tx1"/>
            </w14:solidFill>
          </w14:textFill>
        </w:rPr>
        <w:t xml:space="preserve">第四节  </w:t>
      </w:r>
      <w:bookmarkEnd w:id="58"/>
      <w:r>
        <w:rPr>
          <w:rFonts w:hint="eastAsia" w:ascii="Times New Roman" w:hAnsi="Times New Roman" w:eastAsia="方正楷体_GBK"/>
          <w:b w:val="0"/>
          <w:color w:val="000000" w:themeColor="text1"/>
          <w14:textFill>
            <w14:solidFill>
              <w14:schemeClr w14:val="tx1"/>
            </w14:solidFill>
          </w14:textFill>
        </w:rPr>
        <w:t>不断加速数字化赋能进程</w:t>
      </w:r>
      <w:bookmarkEnd w:id="59"/>
    </w:p>
    <w:p>
      <w:pPr>
        <w:spacing w:line="580" w:lineRule="exact"/>
        <w:rPr>
          <w:rFonts w:eastAsia="方正楷体_GBK"/>
          <w:b/>
          <w:color w:val="000000" w:themeColor="text1"/>
          <w:sz w:val="32"/>
          <w:szCs w:val="32"/>
          <w14:textFill>
            <w14:solidFill>
              <w14:schemeClr w14:val="tx1"/>
            </w14:solidFill>
          </w14:textFill>
        </w:rPr>
      </w:pP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一、加快推进两化融合</w:t>
      </w:r>
    </w:p>
    <w:p>
      <w:pPr>
        <w:spacing w:line="580" w:lineRule="exact"/>
        <w:ind w:firstLine="643" w:firstLineChars="200"/>
        <w:rPr>
          <w:color w:val="000000" w:themeColor="text1"/>
          <w14:textFill>
            <w14:solidFill>
              <w14:schemeClr w14:val="tx1"/>
            </w14:solidFill>
          </w14:textFill>
        </w:rPr>
      </w:pPr>
      <w:r>
        <w:rPr>
          <w:rFonts w:hint="eastAsia"/>
          <w:b/>
          <w:color w:val="000000" w:themeColor="text1"/>
          <w:sz w:val="32"/>
          <w:szCs w:val="32"/>
          <w14:textFill>
            <w14:solidFill>
              <w14:schemeClr w14:val="tx1"/>
            </w14:solidFill>
          </w14:textFill>
        </w:rPr>
        <w:t>一是完善工业互联网支撑体系。</w:t>
      </w:r>
      <w:r>
        <w:rPr>
          <w:rFonts w:hint="eastAsia"/>
          <w:color w:val="000000" w:themeColor="text1"/>
          <w:sz w:val="32"/>
          <w:szCs w:val="32"/>
          <w14:textFill>
            <w14:solidFill>
              <w14:schemeClr w14:val="tx1"/>
            </w14:solidFill>
          </w14:textFill>
        </w:rPr>
        <w:t>加强工业互联网基础设施建设规划与布局，全面推进工业互联网与5G、物联网、云计算融合发展，提高面向工业应用的网络服务能力。探索“一县区一平台、一行业一平台”培育，重点推动酿造、纺织服装、智能家电等产业链龙头企业建设工业互联网平台，依托平台带动产业链资源有效协同，深化产业链供需对接。加快推进工业互联网标识解析（白酒）行业二级节点建设和推广应用，引导支持产业链上下游企业“连节点、用标识”，深化标识在设计、生产、服务等环节应用，扩大标识注册规模、标识解析量和创新应用深度。推动食品饮料、纺织服装、智能家电等产业头部企业对接京东云C2M、阿里云犀牛智造等规模化定制专业平台，打通消费端和生产端，建设C2M数字工厂。</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二是推动“企业上云”。</w:t>
      </w:r>
      <w:r>
        <w:rPr>
          <w:rFonts w:hint="eastAsia"/>
          <w:color w:val="000000" w:themeColor="text1"/>
          <w:sz w:val="32"/>
          <w:szCs w:val="32"/>
          <w14:textFill>
            <w14:solidFill>
              <w14:schemeClr w14:val="tx1"/>
            </w14:solidFill>
          </w14:textFill>
        </w:rPr>
        <w:t>以规上企业为重点，推动工业企业“上云用数赋智”，深入参与产业链分工合作，实现研发、设计、采购、生产、销售等业务的在线协同。聚焦规上企业，每年实施一批企业数字化智能化提升改造项目，引导企业通过嵌入传感器、控制器等数字化技术改造非数字化装备，推进企业应用制造执行系统（MES）等实现云化，加快数控技术应用推广和数控设备联网集成，实现设备“上云”和创新应用。深化互联网“进企业、入车间、联设备”，对工业现场“哑设备”进行网络互连能力改造，支撑多元工业数据采集，积极构建企业数字化、网络化、智能化转型的工业信息基础设施框架体系。</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三是夯实两化融合基础。</w:t>
      </w:r>
      <w:r>
        <w:rPr>
          <w:rFonts w:hint="eastAsia"/>
          <w:color w:val="000000" w:themeColor="text1"/>
          <w:sz w:val="32"/>
          <w:szCs w:val="32"/>
          <w14:textFill>
            <w14:solidFill>
              <w14:schemeClr w14:val="tx1"/>
            </w14:solidFill>
          </w14:textFill>
        </w:rPr>
        <w:t>深化与京东科技合作，充分发挥京东科技在人工智能、大数据、云计算、物联网等方面的业务实践和技术积淀，帮助企业全面提升研发设计、生产制造、经营管理、供应链管理等各个环节的数字化、网络化和智能化水平。利用京东科技的IOT（物联网）套件、分布式数据库等技术，帮助企业实现设备互联、管控系统集成、数据综合利用，推进智能计划排产、智能生产过程协同、智能设备互联互通、智能生产资源管控、智能质量过程控制、智能大数据分析与决策。遴选“5G+工业互联网”典型应用场景的优秀案例，打造可复制的样板工程和典型场景，努力形成5G与工业互联网融合叠加、互促共进、倍增发展的创新态势。持续推进千兆光纤网络和5G基站建设，推动5G网络设施延伸覆盖，尽早实现市域全域5G网络全覆盖。积极创建省“互联网+先进制造业”特色产业基地，探索建设省数字化转型示范区。</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四是营造两化融合发展生态</w:t>
      </w:r>
      <w:r>
        <w:rPr>
          <w:rFonts w:hint="eastAsia"/>
          <w:color w:val="000000" w:themeColor="text1"/>
          <w:sz w:val="32"/>
          <w:szCs w:val="32"/>
          <w14:textFill>
            <w14:solidFill>
              <w14:schemeClr w14:val="tx1"/>
            </w14:solidFill>
          </w14:textFill>
        </w:rPr>
        <w:t>。鼓励和支持企业运用5G、IPv6、工业无线等技术和信息工业设备升级内网，推动信息技术（IT）网络与生产控制（OT）网络融合，对工业现场进行网络互连能力改造，支撑多元工业数据采集。布局建设一批工业大数据中心（IDC），构建企业数字化、网络化、智能化转型的工业信息基础设施框架体系。进一步深化5G、人工智能、区块链等前沿新技术在工业领域的应用广度和深度，围绕20条重点产业链探索并培育新技术在质量检测、预测性维护、智能排产、安全可信等细分场景的融合应用。积极引进全国“跨行业、跨领域”工业互联网和省内优秀平台。</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五是推进云计算与大数据产业发展生态体系建设</w:t>
      </w:r>
      <w:r>
        <w:rPr>
          <w:rFonts w:hint="eastAsia"/>
          <w:color w:val="000000" w:themeColor="text1"/>
          <w:sz w:val="32"/>
          <w:szCs w:val="32"/>
          <w14:textFill>
            <w14:solidFill>
              <w14:schemeClr w14:val="tx1"/>
            </w14:solidFill>
          </w14:textFill>
        </w:rPr>
        <w:t>。建设以中国宿迁电子商务产业园区、宿迁市软件与服务外包产业园、沭阳软件产业园等园区为载体，以京东云华东数据中心为平台，以云服务、数据存储、数据加工分析为重点发展方向，以围绕电子政务、电子商务、智慧物流等为云计算大数据主要应用领域，构建宿迁市云计算与大数据产业发展生态体系。</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二、积极发展智能制造</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一是大力培育智能制造产业。</w:t>
      </w:r>
      <w:r>
        <w:rPr>
          <w:rFonts w:hint="eastAsia"/>
          <w:color w:val="000000" w:themeColor="text1"/>
          <w:sz w:val="32"/>
          <w:szCs w:val="32"/>
          <w14:textFill>
            <w14:solidFill>
              <w14:schemeClr w14:val="tx1"/>
            </w14:solidFill>
          </w14:textFill>
        </w:rPr>
        <w:t>主要围绕“6+3+X”产业应用需求，加大智能装备及成套技术、核心部件重点企业培育力度，鼓励装备制造企业以高端化、自主化、智能化为方向，研制智能化生产线、工业机器人、检测装配、物流仓储分拣等智能制造装备，鼓励和支持正将自动化、宋和宋智能、华工激光、宏芯亿泰、华益中亨金属等智能装备企业发展，新建一批省级首（台）套重大装备、智能制造领军服务机构。</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二是实施智能制造示范工程。</w:t>
      </w:r>
      <w:r>
        <w:rPr>
          <w:rFonts w:hint="eastAsia"/>
          <w:color w:val="000000" w:themeColor="text1"/>
          <w:sz w:val="32"/>
          <w:szCs w:val="32"/>
          <w14:textFill>
            <w14:solidFill>
              <w14:schemeClr w14:val="tx1"/>
            </w14:solidFill>
          </w14:textFill>
        </w:rPr>
        <w:t>选择具有智能制造基础和带动作用的企业，紧扣关键工序自动化、关键岗位工业机器人替代、生产过程智能优化控制、供应链管理智能化，分类创建离散制造、流程制造示范车间。每年重点调度实施智能制造项目60个以上，组织开展智能制造诊断，每年新建省级、市级示范智能车间50个以上。支持行业重点骨干企业结合实际和行业特点，聚焦“设备互联、数据互换、过程互动、产业互融”四个关键环节，探索系统化智能化改造，建设示范智能工厂。</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三是构建智能制造服务体系。</w:t>
      </w:r>
      <w:r>
        <w:rPr>
          <w:rFonts w:hint="eastAsia"/>
          <w:color w:val="000000" w:themeColor="text1"/>
          <w:sz w:val="32"/>
          <w:szCs w:val="32"/>
          <w14:textFill>
            <w14:solidFill>
              <w14:schemeClr w14:val="tx1"/>
            </w14:solidFill>
          </w14:textFill>
        </w:rPr>
        <w:t>加快招引培育一批智能化改造专业服务机构或整体方案提供商，推动与京东等互联网平台对接联动，加快构建智能制造服务体系，为企业提供智能制造咨询诊断、专业解决方案等多元化服务；全面摸底企业智能化改造需求，研究出台加快推进智能制造三年行动计划，组织开展企业智能制造诊断，积极推动企业加快设备换芯、生产换线、机器换人步伐，促进产业结构向高端化智能化攀升。</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580" w:lineRule="exact"/>
              <w:jc w:val="center"/>
              <w:rPr>
                <w:rFonts w:eastAsia="方正黑体_GBK"/>
                <w:color w:val="000000" w:themeColor="text1"/>
                <w:kern w:val="0"/>
                <w:sz w:val="28"/>
                <w:szCs w:val="28"/>
                <w14:textFill>
                  <w14:solidFill>
                    <w14:schemeClr w14:val="tx1"/>
                  </w14:solidFill>
                </w14:textFill>
              </w:rPr>
            </w:pPr>
            <w:r>
              <w:rPr>
                <w:rFonts w:eastAsia="方正黑体_GBK"/>
                <w:color w:val="000000" w:themeColor="text1"/>
                <w:kern w:val="0"/>
                <w:sz w:val="28"/>
                <w:szCs w:val="28"/>
                <w14:textFill>
                  <w14:solidFill>
                    <w14:schemeClr w14:val="tx1"/>
                  </w14:solidFill>
                </w14:textFill>
              </w:rPr>
              <w:t>专栏6-</w:t>
            </w:r>
            <w:r>
              <w:rPr>
                <w:rFonts w:hint="eastAsia" w:eastAsia="方正黑体_GBK"/>
                <w:color w:val="000000" w:themeColor="text1"/>
                <w:kern w:val="0"/>
                <w:sz w:val="28"/>
                <w:szCs w:val="28"/>
                <w14:textFill>
                  <w14:solidFill>
                    <w14:schemeClr w14:val="tx1"/>
                  </w14:solidFill>
                </w14:textFill>
              </w:rPr>
              <w:t xml:space="preserve">5  </w:t>
            </w:r>
            <w:r>
              <w:rPr>
                <w:rFonts w:hint="eastAsia" w:eastAsia="方正黑体_GBK" w:cs="方正楷体_GBK"/>
                <w:color w:val="000000" w:themeColor="text1"/>
                <w:sz w:val="28"/>
                <w:szCs w:val="28"/>
                <w14:textFill>
                  <w14:solidFill>
                    <w14:schemeClr w14:val="tx1"/>
                  </w14:solidFill>
                </w14:textFill>
              </w:rPr>
              <w:t>实施数字转型提升行动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8522" w:type="dxa"/>
          </w:tcPr>
          <w:p>
            <w:pPr>
              <w:tabs>
                <w:tab w:val="left" w:pos="5736"/>
              </w:tabs>
              <w:spacing w:line="400" w:lineRule="exact"/>
              <w:ind w:firstLine="562" w:firstLineChars="200"/>
              <w:rPr>
                <w:rFonts w:cs="方正仿宋_GBK"/>
                <w:color w:val="000000" w:themeColor="text1"/>
                <w:sz w:val="28"/>
                <w:szCs w:val="32"/>
                <w14:textFill>
                  <w14:solidFill>
                    <w14:schemeClr w14:val="tx1"/>
                  </w14:solidFill>
                </w14:textFill>
              </w:rPr>
            </w:pPr>
            <w:r>
              <w:rPr>
                <w:rFonts w:hint="eastAsia" w:ascii="方正仿宋_GBK" w:hAnsi="方正仿宋_GBK" w:cs="方正仿宋_GBK"/>
                <w:b/>
                <w:bCs/>
                <w:color w:val="000000" w:themeColor="text1"/>
                <w:sz w:val="28"/>
                <w:szCs w:val="28"/>
                <w14:textFill>
                  <w14:solidFill>
                    <w14:schemeClr w14:val="tx1"/>
                  </w14:solidFill>
                </w14:textFill>
              </w:rPr>
              <w:t>实施“龙头带动”工程。</w:t>
            </w:r>
            <w:r>
              <w:rPr>
                <w:rFonts w:hint="eastAsia" w:cs="方正仿宋_GBK"/>
                <w:color w:val="000000" w:themeColor="text1"/>
                <w:sz w:val="28"/>
                <w:szCs w:val="32"/>
                <w14:textFill>
                  <w14:solidFill>
                    <w14:schemeClr w14:val="tx1"/>
                  </w14:solidFill>
                </w14:textFill>
              </w:rPr>
              <w:t>支持产业链龙头企业建设工业互联网平台，“以点带面”引领行业应用，重点围绕20条产业链推进工业互联网建设，创成省级工业互联网平台和标杆工厂5户以上、市级工业互联网标杆工厂30户以上。加快推进食品生产（酒类）行业标识解析二级节点建设，节点接入企业不少于100户，标识注册量2亿以上。</w:t>
            </w:r>
          </w:p>
          <w:p>
            <w:pPr>
              <w:tabs>
                <w:tab w:val="left" w:pos="5736"/>
              </w:tabs>
              <w:spacing w:line="400" w:lineRule="exact"/>
              <w:ind w:firstLine="562" w:firstLineChars="200"/>
              <w:rPr>
                <w:rFonts w:cs="方正仿宋_GBK"/>
                <w:color w:val="000000" w:themeColor="text1"/>
                <w:sz w:val="28"/>
                <w:szCs w:val="32"/>
                <w14:textFill>
                  <w14:solidFill>
                    <w14:schemeClr w14:val="tx1"/>
                  </w14:solidFill>
                </w14:textFill>
              </w:rPr>
            </w:pPr>
            <w:r>
              <w:rPr>
                <w:rFonts w:hint="eastAsia" w:ascii="方正仿宋_GBK" w:hAnsi="方正仿宋_GBK" w:cs="方正仿宋_GBK"/>
                <w:b/>
                <w:bCs/>
                <w:color w:val="000000" w:themeColor="text1"/>
                <w:sz w:val="28"/>
                <w:szCs w:val="28"/>
                <w14:textFill>
                  <w14:solidFill>
                    <w14:schemeClr w14:val="tx1"/>
                  </w14:solidFill>
                </w14:textFill>
              </w:rPr>
              <w:t>实施“百企智造”工程。</w:t>
            </w:r>
            <w:r>
              <w:rPr>
                <w:rFonts w:cs="方正仿宋_GBK"/>
                <w:color w:val="000000" w:themeColor="text1"/>
                <w:sz w:val="28"/>
                <w:szCs w:val="32"/>
                <w14:textFill>
                  <w14:solidFill>
                    <w14:schemeClr w14:val="tx1"/>
                  </w14:solidFill>
                </w14:textFill>
              </w:rPr>
              <w:t>推动智能制造技术资源与企业深度对接，每年为100户企业提供免费数字化、智能化转型诊断服务，为全市工业企业提供不少于1000次免费顾问咨询服务，调度实施数字化、智能化改造重点项目100个以上。</w:t>
            </w:r>
          </w:p>
          <w:p>
            <w:pPr>
              <w:tabs>
                <w:tab w:val="left" w:pos="5736"/>
              </w:tabs>
              <w:spacing w:line="400" w:lineRule="exact"/>
              <w:ind w:firstLine="562" w:firstLineChars="200"/>
              <w:rPr>
                <w:rFonts w:cs="方正仿宋_GBK"/>
                <w:color w:val="000000" w:themeColor="text1"/>
                <w:sz w:val="28"/>
                <w:szCs w:val="32"/>
                <w14:textFill>
                  <w14:solidFill>
                    <w14:schemeClr w14:val="tx1"/>
                  </w14:solidFill>
                </w14:textFill>
              </w:rPr>
            </w:pPr>
            <w:r>
              <w:rPr>
                <w:rFonts w:hint="eastAsia" w:ascii="方正仿宋_GBK" w:hAnsi="方正仿宋_GBK" w:cs="方正仿宋_GBK"/>
                <w:b/>
                <w:bCs/>
                <w:color w:val="000000" w:themeColor="text1"/>
                <w:sz w:val="28"/>
                <w:szCs w:val="28"/>
                <w14:textFill>
                  <w14:solidFill>
                    <w14:schemeClr w14:val="tx1"/>
                  </w14:solidFill>
                </w14:textFill>
              </w:rPr>
              <w:t>实施“千企上云”工程。</w:t>
            </w:r>
            <w:r>
              <w:rPr>
                <w:rFonts w:hint="eastAsia" w:cs="方正仿宋_GBK"/>
                <w:color w:val="000000" w:themeColor="text1"/>
                <w:sz w:val="28"/>
                <w:szCs w:val="32"/>
                <w14:textFill>
                  <w14:solidFill>
                    <w14:schemeClr w14:val="tx1"/>
                  </w14:solidFill>
                </w14:textFill>
              </w:rPr>
              <w:t>推动规上企业“上云上平台”，促进云计算、大数据、人工智能等技术在工业企业中的普及应用，三星级以上“上云”标杆企业1500户以上，</w:t>
            </w:r>
            <w:r>
              <w:rPr>
                <w:rFonts w:cs="方正仿宋_GBK"/>
                <w:color w:val="000000" w:themeColor="text1"/>
                <w:sz w:val="28"/>
                <w:szCs w:val="32"/>
                <w14:textFill>
                  <w14:solidFill>
                    <w14:schemeClr w14:val="tx1"/>
                  </w14:solidFill>
                </w14:textFill>
              </w:rPr>
              <w:t>力争规上企业星级“上云”覆盖率超过50%。</w:t>
            </w:r>
          </w:p>
          <w:p>
            <w:pPr>
              <w:tabs>
                <w:tab w:val="left" w:pos="5736"/>
              </w:tabs>
              <w:spacing w:line="400" w:lineRule="exact"/>
              <w:ind w:firstLine="562" w:firstLineChars="200"/>
              <w:rPr>
                <w:rFonts w:cs="方正仿宋_GBK"/>
                <w:color w:val="000000" w:themeColor="text1"/>
                <w:sz w:val="28"/>
                <w:szCs w:val="32"/>
                <w14:textFill>
                  <w14:solidFill>
                    <w14:schemeClr w14:val="tx1"/>
                  </w14:solidFill>
                </w14:textFill>
              </w:rPr>
            </w:pPr>
            <w:r>
              <w:rPr>
                <w:rFonts w:hint="eastAsia" w:ascii="方正仿宋_GBK" w:hAnsi="方正仿宋_GBK" w:cs="方正仿宋_GBK"/>
                <w:b/>
                <w:bCs/>
                <w:color w:val="000000" w:themeColor="text1"/>
                <w:sz w:val="28"/>
                <w:szCs w:val="28"/>
                <w14:textFill>
                  <w14:solidFill>
                    <w14:schemeClr w14:val="tx1"/>
                  </w14:solidFill>
                </w14:textFill>
              </w:rPr>
              <w:t>实施“万企联网”工程。</w:t>
            </w:r>
            <w:r>
              <w:rPr>
                <w:rFonts w:cs="方正仿宋_GBK"/>
                <w:color w:val="000000" w:themeColor="text1"/>
                <w:sz w:val="28"/>
                <w:szCs w:val="32"/>
                <w14:textFill>
                  <w14:solidFill>
                    <w14:schemeClr w14:val="tx1"/>
                  </w14:solidFill>
                </w14:textFill>
              </w:rPr>
              <w:t>组织基础通信企业持续推进“企企通”工程，引导鼓励广大中小微企业加快接入消费互联网与工业互联网，从云端获取资源和应用服务，促进云计算、大数据、人工智能等新一代信息技术的普及应用。</w:t>
            </w:r>
          </w:p>
        </w:tc>
      </w:tr>
    </w:tbl>
    <w:p>
      <w:pPr>
        <w:pStyle w:val="8"/>
        <w:spacing w:before="156" w:beforeLines="5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三、聚力推动两业融合</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一是促进生产性服务业与制造业高效融合。</w:t>
      </w:r>
      <w:r>
        <w:rPr>
          <w:rFonts w:hint="eastAsia"/>
          <w:color w:val="000000" w:themeColor="text1"/>
          <w:sz w:val="32"/>
          <w:szCs w:val="32"/>
          <w14:textFill>
            <w14:solidFill>
              <w14:schemeClr w14:val="tx1"/>
            </w14:solidFill>
          </w14:textFill>
        </w:rPr>
        <w:t>大力招引培育营销服务、研发创新、工业设计、创业孵化、知识产权交易、投融资服务、信息化服务、检验检测等高端生产性服务业企业，引导和鼓励生产性服务业企业为制造业企业提供高端会展、市场需求分析、创新试验、综合设计、技术专利转让和咨询、投融资咨询、智能化改造方案设计等专业化服务。</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二是大力发展服务型制造新模式新业态。</w:t>
      </w:r>
      <w:r>
        <w:rPr>
          <w:rFonts w:hint="eastAsia"/>
          <w:color w:val="000000" w:themeColor="text1"/>
          <w:sz w:val="32"/>
          <w:szCs w:val="32"/>
          <w14:textFill>
            <w14:solidFill>
              <w14:schemeClr w14:val="tx1"/>
            </w14:solidFill>
          </w14:textFill>
        </w:rPr>
        <w:t>重点聚焦电子信息、汽车及零部件、光伏等产业，鼓励和引导制造业企业由单纯生产制造环节改造向技术研发、工业设计、采购分销、生产控制、营运管理、售后服务等产业链两端协同改造转变，加快发展工业互联网创新应用、柔性化定制、共享生产平台、总集成总承包、全生命周期管理、供应链管理、服务衍生制造等新模式新业态。探索开展市级服务型制造示范认定工作，鼓励和支持有条件的企业申报国家、省级服务型制造试点示范项目，每年创建省级服务型制造示范企业2户以上、市级5户以上。</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三是推进消费性服务业与制造业创新融合。</w:t>
      </w:r>
      <w:r>
        <w:rPr>
          <w:rFonts w:hint="eastAsia"/>
          <w:color w:val="000000" w:themeColor="text1"/>
          <w:sz w:val="32"/>
          <w:szCs w:val="32"/>
          <w14:textFill>
            <w14:solidFill>
              <w14:schemeClr w14:val="tx1"/>
            </w14:solidFill>
          </w14:textFill>
        </w:rPr>
        <w:t>推动全市文化创意、旅游等产业加大与本地绿色食品、纺织服装企业的供应链合作力度；支持有条件的工业遗产和企业、园区、基地等挖掘历史文化底蕴，开发集生产展示、观光体验、教育科普等于一体的工业文化旅游产品，厚植工业文化，弘扬工匠精神。</w:t>
      </w:r>
    </w:p>
    <w:p>
      <w:pPr>
        <w:spacing w:line="580" w:lineRule="exact"/>
        <w:rPr>
          <w:rFonts w:eastAsia="方正楷体_GBK"/>
          <w:b/>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60" w:name="_Toc75019430"/>
      <w:bookmarkStart w:id="61" w:name="_Toc15902"/>
      <w:r>
        <w:rPr>
          <w:rFonts w:hint="eastAsia" w:ascii="Times New Roman" w:hAnsi="Times New Roman" w:eastAsia="方正楷体_GBK"/>
          <w:b w:val="0"/>
          <w:color w:val="000000" w:themeColor="text1"/>
          <w14:textFill>
            <w14:solidFill>
              <w14:schemeClr w14:val="tx1"/>
            </w14:solidFill>
          </w14:textFill>
        </w:rPr>
        <w:t xml:space="preserve">第五节  </w:t>
      </w:r>
      <w:bookmarkEnd w:id="60"/>
      <w:r>
        <w:rPr>
          <w:rFonts w:hint="eastAsia" w:ascii="Times New Roman" w:hAnsi="Times New Roman" w:eastAsia="方正楷体_GBK"/>
          <w:b w:val="0"/>
          <w:color w:val="000000" w:themeColor="text1"/>
          <w14:textFill>
            <w14:solidFill>
              <w14:schemeClr w14:val="tx1"/>
            </w14:solidFill>
          </w14:textFill>
        </w:rPr>
        <w:t>始终坚持绿色低碳安全发展</w:t>
      </w:r>
      <w:bookmarkEnd w:id="61"/>
    </w:p>
    <w:p>
      <w:pPr>
        <w:spacing w:line="580" w:lineRule="exact"/>
        <w:rPr>
          <w:rFonts w:eastAsia="方正楷体_GBK"/>
          <w:b/>
          <w:color w:val="000000" w:themeColor="text1"/>
          <w:sz w:val="32"/>
          <w:szCs w:val="32"/>
          <w14:textFill>
            <w14:solidFill>
              <w14:schemeClr w14:val="tx1"/>
            </w14:solidFill>
          </w14:textFill>
        </w:rPr>
      </w:pP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一、打造绿色制造体系</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一是实施绿色制造试点示范。</w:t>
      </w:r>
      <w:r>
        <w:rPr>
          <w:rFonts w:hint="eastAsia"/>
          <w:color w:val="000000" w:themeColor="text1"/>
          <w:sz w:val="32"/>
          <w:szCs w:val="32"/>
          <w14:textFill>
            <w14:solidFill>
              <w14:schemeClr w14:val="tx1"/>
            </w14:solidFill>
          </w14:textFill>
        </w:rPr>
        <w:t>按照全市“绿色发展”部署要求，组织实施企业能效提升、清洁生产、污染防治设施等技术改造，鼓励企业加快引入绿色技术、绿色设计、绿色产品的行业标准和管理规范，支持企业建立能源管理中心等绿色发展平台，打造一批绿色工厂、绿色园区、绿色供应链等试点示范项目，推进绿色工厂、绿色企业和绿色园区建设，加强绿色供应链管理，实现供应链体系产品的绿色设计、绿色生产、绿色包装及回收处理，加快构建绿色制造体系。</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二是加快推进节能降耗。</w:t>
      </w:r>
      <w:r>
        <w:rPr>
          <w:rFonts w:hint="eastAsia"/>
          <w:color w:val="000000" w:themeColor="text1"/>
          <w:sz w:val="32"/>
          <w:szCs w:val="32"/>
          <w:shd w:val="clear" w:color="auto" w:fill="FFFFFF"/>
          <w14:textFill>
            <w14:solidFill>
              <w14:schemeClr w14:val="tx1"/>
            </w14:solidFill>
          </w14:textFill>
        </w:rPr>
        <w:t>严格落实能耗等量或减量置换等相关约束性条件，严控“两高”行业新增产能，进一步完善固定资产投资项目节能评估审查制度。在化工、建材、纺织等主要耗能行业开展大规模节能技术改造，加快节能核心关键技术创新和产业化应用。组织实施锅炉（窑炉）、电机系统、余热余压利用、能量系统优化等节能改造。</w:t>
      </w:r>
      <w:r>
        <w:rPr>
          <w:rFonts w:hint="eastAsia"/>
          <w:color w:val="000000" w:themeColor="text1"/>
          <w:sz w:val="32"/>
          <w:szCs w:val="32"/>
          <w14:textFill>
            <w14:solidFill>
              <w14:schemeClr w14:val="tx1"/>
            </w14:solidFill>
          </w14:textFill>
        </w:rPr>
        <w:t>推进能源智慧化管理体系，建设重点能耗企业在线监测平台，升级改造企业能源管理中心，实施能源动态监测、能效对标、控制和优化管理。</w:t>
      </w:r>
    </w:p>
    <w:p>
      <w:pPr>
        <w:spacing w:line="580" w:lineRule="exact"/>
        <w:ind w:firstLine="643" w:firstLineChars="200"/>
        <w:rPr>
          <w:bCs/>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三是聚力发展循环经济。</w:t>
      </w:r>
      <w:r>
        <w:rPr>
          <w:rFonts w:hint="eastAsia"/>
          <w:bCs/>
          <w:color w:val="000000" w:themeColor="text1"/>
          <w:sz w:val="32"/>
          <w:szCs w:val="32"/>
          <w14:textFill>
            <w14:solidFill>
              <w14:schemeClr w14:val="tx1"/>
            </w14:solidFill>
          </w14:textFill>
        </w:rPr>
        <w:t>实施余热余压回收、中水回用、废渣资源化等绿色化改造工程，促进生产过程废弃物和资源循环利用。全面落实最严格水资源管理制度，加强工业节水减排，推进节水技术改造，开展水效领跑者引领行动。加快发展低碳经济，加强重点行业能源智慧化管理，实施节能改造和用能监测预警，建立从项目审批源头落实高耗能、高耗水、高排放项目监管体制，进一步提高绿色准入门槛。实施能效提升计划，推进重点用能单位“百千万”行动，倒逼企业绿色低碳发展。在规模以上工业企业中实施“绿色账本”制度，完善用能设备台账，加强数据采集，建立设备全生命周期成本费用模型，按照成本最优原则引导企业更新设备。</w:t>
      </w:r>
    </w:p>
    <w:p>
      <w:pPr>
        <w:spacing w:line="580" w:lineRule="exact"/>
        <w:ind w:firstLine="643" w:firstLineChars="200"/>
        <w:rPr>
          <w:bCs/>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四是推动生产过程清洁化。</w:t>
      </w:r>
      <w:r>
        <w:rPr>
          <w:rFonts w:hint="eastAsia"/>
          <w:bCs/>
          <w:color w:val="000000" w:themeColor="text1"/>
          <w:sz w:val="32"/>
          <w:szCs w:val="32"/>
          <w14:textFill>
            <w14:solidFill>
              <w14:schemeClr w14:val="tx1"/>
            </w14:solidFill>
          </w14:textFill>
        </w:rPr>
        <w:t>加强大气环境治理，鼓励重点行业实施深度治理和节能改造，在木材加工和家具制造产业中建设胶黏剂绿岛，鼓励家具、汽修等行业依托行业龙头企业建设喷涂工序“共性工厂”，化解中小企业VOCs治理难度、成本高、排放不达标等问题。聚焦化工等重点行业领域，以资源的高效利用和循环利用为目标，以“减量化、再利用、资源化”为原则，加大技术革新，不断调整化工企业资源和能源结构，用新技术代替高能耗高参数设备，强化生产过程中废弃物的循环利用，提高原料利用率。</w:t>
      </w:r>
    </w:p>
    <w:p>
      <w:pPr>
        <w:spacing w:line="580" w:lineRule="exact"/>
        <w:ind w:firstLine="643" w:firstLineChars="20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五是</w:t>
      </w:r>
      <w:r>
        <w:rPr>
          <w:b/>
          <w:bCs/>
          <w:color w:val="000000" w:themeColor="text1"/>
          <w:sz w:val="32"/>
          <w:szCs w:val="32"/>
          <w14:textFill>
            <w14:solidFill>
              <w14:schemeClr w14:val="tx1"/>
            </w14:solidFill>
          </w14:textFill>
        </w:rPr>
        <w:t>深化工业企业资源集约评价应用。</w:t>
      </w:r>
      <w:r>
        <w:rPr>
          <w:color w:val="000000" w:themeColor="text1"/>
          <w:sz w:val="32"/>
          <w:szCs w:val="32"/>
          <w14:textFill>
            <w14:solidFill>
              <w14:schemeClr w14:val="tx1"/>
            </w14:solidFill>
          </w14:textFill>
        </w:rPr>
        <w:t>完善全市工业企业资源集约利用大数据平台，建立以县（区）为主体综合评价工作机制，围绕高质量发展要求，科学确定评价指标体系及评分办法，开展企业综合评价工作，形成分类评价结果（A类优先发展类、B类鼓励提升类、C类监管调控类、D类落后整治类）。探索出台企业综合评价差别化政策措施，通过实施差别化税政策、用能政策、价格政策、用地政策，倒逼低端产业退出，推动资源要素向主导产业、重点企业集聚。引导县区、功能区围绕高端产业布局，优化城市规划和空间布局规划，加快推进低端产能淘汰和土地清理盘活，落实产能置换政策，坚决杜绝亩均投资强度、亩均产出效益不符合要求的项目落地。</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二、深化工业安全生产</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一是紧抓重点行业的安全生产专项整治。</w:t>
      </w:r>
      <w:r>
        <w:rPr>
          <w:rFonts w:hint="eastAsia"/>
          <w:color w:val="000000" w:themeColor="text1"/>
          <w:sz w:val="32"/>
          <w:szCs w:val="32"/>
          <w14:textFill>
            <w14:solidFill>
              <w14:schemeClr w14:val="tx1"/>
            </w14:solidFill>
          </w14:textFill>
        </w:rPr>
        <w:t>按照“严标、严管、严查、严控、严处”要求，开展覆盖全市所有企业的安全生产排查整治，聚焦家居制造、化工等重点产业，确保木板材和危化品生产、经营、储存、运输、处置等全过程安全，坚决防止发生有影响的安全生产事故。</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二是以产业转型升级推动本质安全提升。</w:t>
      </w:r>
      <w:r>
        <w:rPr>
          <w:rFonts w:hint="eastAsia"/>
          <w:color w:val="000000" w:themeColor="text1"/>
          <w:sz w:val="32"/>
          <w:szCs w:val="32"/>
          <w14:textFill>
            <w14:solidFill>
              <w14:schemeClr w14:val="tx1"/>
            </w14:solidFill>
          </w14:textFill>
        </w:rPr>
        <w:t>从产业专项规划、标准化建设、基础设施配套、园区准入等方面层层落实安全监管责任，对依法应关停、退出或淘汰的企业坚决予以相应处理；推动符合安全生产要求的企业将安全隐患排查与企业智能化、绿色化改造相结合，通过技术创新、工艺改进和设备升级，从源头上提高企业安全生产管理水平。</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580" w:lineRule="exact"/>
              <w:jc w:val="center"/>
              <w:rPr>
                <w:rFonts w:eastAsia="方正黑体_GBK"/>
                <w:color w:val="000000" w:themeColor="text1"/>
                <w:kern w:val="0"/>
                <w:sz w:val="28"/>
                <w:szCs w:val="28"/>
                <w14:textFill>
                  <w14:solidFill>
                    <w14:schemeClr w14:val="tx1"/>
                  </w14:solidFill>
                </w14:textFill>
              </w:rPr>
            </w:pPr>
            <w:r>
              <w:rPr>
                <w:rFonts w:eastAsia="方正黑体_GBK"/>
                <w:color w:val="000000" w:themeColor="text1"/>
                <w:kern w:val="0"/>
                <w:sz w:val="28"/>
                <w:szCs w:val="28"/>
                <w14:textFill>
                  <w14:solidFill>
                    <w14:schemeClr w14:val="tx1"/>
                  </w14:solidFill>
                </w14:textFill>
              </w:rPr>
              <w:t>专栏6-</w:t>
            </w:r>
            <w:r>
              <w:rPr>
                <w:rFonts w:hint="eastAsia" w:eastAsia="方正黑体_GBK"/>
                <w:color w:val="000000" w:themeColor="text1"/>
                <w:kern w:val="0"/>
                <w:sz w:val="28"/>
                <w:szCs w:val="28"/>
                <w14:textFill>
                  <w14:solidFill>
                    <w14:schemeClr w14:val="tx1"/>
                  </w14:solidFill>
                </w14:textFill>
              </w:rPr>
              <w:t>6  实施</w:t>
            </w:r>
            <w:r>
              <w:rPr>
                <w:rFonts w:hint="eastAsia" w:eastAsia="方正黑体_GBK" w:cs="方正楷体_GBK"/>
                <w:color w:val="000000" w:themeColor="text1"/>
                <w:sz w:val="28"/>
                <w:szCs w:val="28"/>
                <w14:textFill>
                  <w14:solidFill>
                    <w14:schemeClr w14:val="tx1"/>
                  </w14:solidFill>
                </w14:textFill>
              </w:rPr>
              <w:t>化工产业安全环保整治提升行动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1" w:hRule="atLeast"/>
        </w:trPr>
        <w:tc>
          <w:tcPr>
            <w:tcW w:w="8522" w:type="dxa"/>
          </w:tcPr>
          <w:p>
            <w:pPr>
              <w:spacing w:line="400" w:lineRule="exact"/>
              <w:ind w:firstLine="560" w:firstLineChars="200"/>
              <w:rPr>
                <w:rFonts w:cs="方正仿宋_GBK"/>
                <w:color w:val="000000" w:themeColor="text1"/>
                <w:sz w:val="28"/>
                <w:szCs w:val="32"/>
                <w14:textFill>
                  <w14:solidFill>
                    <w14:schemeClr w14:val="tx1"/>
                  </w14:solidFill>
                </w14:textFill>
              </w:rPr>
            </w:pPr>
            <w:r>
              <w:rPr>
                <w:rFonts w:hint="eastAsia" w:ascii="方正仿宋_GBK" w:hAnsi="方正仿宋_GBK" w:cs="方正仿宋_GBK"/>
                <w:color w:val="000000" w:themeColor="text1"/>
                <w:sz w:val="28"/>
                <w:szCs w:val="28"/>
                <w:shd w:val="clear" w:color="auto" w:fill="FFFFFF"/>
                <w14:textFill>
                  <w14:solidFill>
                    <w14:schemeClr w14:val="tx1"/>
                  </w14:solidFill>
                </w14:textFill>
              </w:rPr>
              <w:t>深入推进宿迁市安全生产专项整治三年行动，聚焦化工行业、危险化学品企业搬迁等重点工作任务，推动专项整治向纵深发展。进一步优化提升化工产业布局，全力推动化工园区（集中区）整治提升，严格化工产业准入，规范化工生产企业管理，加强化工行业监管，加大安全环保隐患整治力度，强化政策支持，推动</w:t>
            </w:r>
            <w:r>
              <w:rPr>
                <w:rFonts w:ascii="方正仿宋_GBK" w:hAnsi="方正仿宋_GBK" w:cs="方正仿宋_GBK"/>
                <w:color w:val="000000" w:themeColor="text1"/>
                <w:sz w:val="28"/>
                <w:szCs w:val="28"/>
                <w:shd w:val="clear" w:color="auto" w:fill="FFFFFF"/>
                <w14:textFill>
                  <w14:solidFill>
                    <w14:schemeClr w14:val="tx1"/>
                  </w14:solidFill>
                </w14:textFill>
              </w:rPr>
              <w:t>宿迁生态化工科技产业园</w:t>
            </w:r>
            <w:r>
              <w:rPr>
                <w:rFonts w:hint="eastAsia" w:ascii="方正仿宋_GBK" w:hAnsi="方正仿宋_GBK" w:cs="方正仿宋_GBK"/>
                <w:color w:val="000000" w:themeColor="text1"/>
                <w:sz w:val="28"/>
                <w:szCs w:val="28"/>
                <w:shd w:val="clear" w:color="auto" w:fill="FFFFFF"/>
                <w14:textFill>
                  <w14:solidFill>
                    <w14:schemeClr w14:val="tx1"/>
                  </w14:solidFill>
                </w14:textFill>
              </w:rPr>
              <w:t>升级为省级化工园区。力争通过专项整治活动开展，推动全市化工产业本质安全根本提升、区域布局明显优化、低端产能大幅减少，建设符合产业发展规律、循环发展和产业链完善的绿色安全、现代高端化工产业。</w:t>
            </w:r>
          </w:p>
        </w:tc>
      </w:tr>
    </w:tbl>
    <w:p>
      <w:pPr>
        <w:spacing w:line="580" w:lineRule="exact"/>
        <w:rPr>
          <w:rFonts w:eastAsia="方正楷体_GBK"/>
          <w:b/>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62" w:name="_Toc75019431"/>
      <w:bookmarkStart w:id="63" w:name="_Toc10963"/>
      <w:r>
        <w:rPr>
          <w:rFonts w:hint="eastAsia" w:ascii="Times New Roman" w:hAnsi="Times New Roman" w:eastAsia="方正楷体_GBK"/>
          <w:b w:val="0"/>
          <w:color w:val="000000" w:themeColor="text1"/>
          <w14:textFill>
            <w14:solidFill>
              <w14:schemeClr w14:val="tx1"/>
            </w14:solidFill>
          </w14:textFill>
        </w:rPr>
        <w:t xml:space="preserve">第六节  </w:t>
      </w:r>
      <w:bookmarkEnd w:id="62"/>
      <w:r>
        <w:rPr>
          <w:rFonts w:hint="eastAsia" w:ascii="Times New Roman" w:hAnsi="Times New Roman" w:eastAsia="方正楷体_GBK"/>
          <w:b w:val="0"/>
          <w:color w:val="000000" w:themeColor="text1"/>
          <w14:textFill>
            <w14:solidFill>
              <w14:schemeClr w14:val="tx1"/>
            </w14:solidFill>
          </w14:textFill>
        </w:rPr>
        <w:t>全面提升平台载体能级</w:t>
      </w:r>
      <w:bookmarkEnd w:id="63"/>
    </w:p>
    <w:p>
      <w:pPr>
        <w:spacing w:line="580" w:lineRule="exact"/>
        <w:rPr>
          <w:rFonts w:eastAsia="方正楷体_GBK"/>
          <w:b/>
          <w:color w:val="000000" w:themeColor="text1"/>
          <w:sz w:val="32"/>
          <w:szCs w:val="32"/>
          <w14:textFill>
            <w14:solidFill>
              <w14:schemeClr w14:val="tx1"/>
            </w14:solidFill>
          </w14:textFill>
        </w:rPr>
      </w:pP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一、提高科技创新平台建设水平</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一是加快企业自主创新平台建设。</w:t>
      </w:r>
      <w:r>
        <w:rPr>
          <w:rFonts w:hint="eastAsia"/>
          <w:color w:val="000000" w:themeColor="text1"/>
          <w:sz w:val="32"/>
          <w:szCs w:val="32"/>
          <w14:textFill>
            <w14:solidFill>
              <w14:schemeClr w14:val="tx1"/>
            </w14:solidFill>
          </w14:textFill>
        </w:rPr>
        <w:t>大力推动企业设立和升级企业技术中心、工程研究中心、重点实验室等研究机构，进一步提高全市规模以上工业企业研究机构自建率；深入实施“创新型企业培育工程”，推动企业充分发挥自有创新平台作用，开展核心技术自主研发，向高新技术企业转型发展。</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二是高标准建设产业公共技术服务平台。</w:t>
      </w:r>
      <w:r>
        <w:rPr>
          <w:rFonts w:hint="eastAsia"/>
          <w:color w:val="000000" w:themeColor="text1"/>
          <w:sz w:val="32"/>
          <w:szCs w:val="32"/>
          <w14:textFill>
            <w14:solidFill>
              <w14:schemeClr w14:val="tx1"/>
            </w14:solidFill>
          </w14:textFill>
        </w:rPr>
        <w:t>重点聚焦酒类、食品饮料、纺织服装、家居制造、膜材料等地标产业和支柱产业，以产业链关键环节的龙头企业为牵引，整合上下游创新资源实现优势互补，针对产业共性技术短板，采取政府支持、股权合作、成果分享的市场化运作新机制和新模式，建设一批制造业创新中心、工业设计中心、公共实验室、科技成果交易中心等高水平的公共技术服务平台，开展关键共性技术“订单式”科研项目合作，形成贯穿技术方案、应用研究、成果转化全过程的产业“技术池”。</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三是加强创新创业服务平台建设。</w:t>
      </w:r>
      <w:r>
        <w:rPr>
          <w:rFonts w:hint="eastAsia"/>
          <w:color w:val="000000" w:themeColor="text1"/>
          <w:sz w:val="32"/>
          <w:szCs w:val="32"/>
          <w14:textFill>
            <w14:solidFill>
              <w14:schemeClr w14:val="tx1"/>
            </w14:solidFill>
          </w14:textFill>
        </w:rPr>
        <w:t>聚焦全市主导产业和先导产业，围绕企业创新创业需求，紧扣产业创新链各个环节打造科技服务链，依托京东等大型互联网平台企业，推动互联网+创新资源、创新要素的服务模式，加快建设一批专业化科技综合体、孵化器、众创空间、劳模和工匠人才创新工作室等公共服务平台，为企业提供专家指导、政策解读、财税扶持、融资对接、市场拓展、项目辅导、人才培训等“一揽子”服务。</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580" w:lineRule="exact"/>
              <w:jc w:val="center"/>
              <w:rPr>
                <w:rFonts w:eastAsia="方正黑体_GBK"/>
                <w:color w:val="000000" w:themeColor="text1"/>
                <w:kern w:val="0"/>
                <w:sz w:val="28"/>
                <w:szCs w:val="28"/>
                <w14:textFill>
                  <w14:solidFill>
                    <w14:schemeClr w14:val="tx1"/>
                  </w14:solidFill>
                </w14:textFill>
              </w:rPr>
            </w:pPr>
            <w:r>
              <w:rPr>
                <w:rFonts w:eastAsia="方正黑体_GBK"/>
                <w:color w:val="000000" w:themeColor="text1"/>
                <w:kern w:val="0"/>
                <w:sz w:val="28"/>
                <w:szCs w:val="28"/>
                <w14:textFill>
                  <w14:solidFill>
                    <w14:schemeClr w14:val="tx1"/>
                  </w14:solidFill>
                </w14:textFill>
              </w:rPr>
              <w:t>专栏6-</w:t>
            </w:r>
            <w:r>
              <w:rPr>
                <w:rFonts w:hint="eastAsia" w:eastAsia="方正黑体_GBK"/>
                <w:color w:val="000000" w:themeColor="text1"/>
                <w:kern w:val="0"/>
                <w:sz w:val="28"/>
                <w:szCs w:val="28"/>
                <w14:textFill>
                  <w14:solidFill>
                    <w14:schemeClr w14:val="tx1"/>
                  </w14:solidFill>
                </w14:textFill>
              </w:rPr>
              <w:t>7  实施重点创新平台创建工程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00" w:lineRule="exact"/>
              <w:ind w:firstLine="562" w:firstLineChars="200"/>
              <w:rPr>
                <w:rFonts w:cstheme="minorBidi"/>
                <w:color w:val="000000" w:themeColor="text1"/>
                <w:sz w:val="28"/>
                <w14:textFill>
                  <w14:solidFill>
                    <w14:schemeClr w14:val="tx1"/>
                  </w14:solidFill>
                </w14:textFill>
              </w:rPr>
            </w:pPr>
            <w:r>
              <w:rPr>
                <w:rFonts w:hint="eastAsia" w:ascii="方正仿宋_GBK" w:hAnsi="方正仿宋_GBK" w:cs="方正仿宋_GBK"/>
                <w:b/>
                <w:color w:val="000000" w:themeColor="text1"/>
                <w:sz w:val="28"/>
                <w14:textFill>
                  <w14:solidFill>
                    <w14:schemeClr w14:val="tx1"/>
                  </w14:solidFill>
                </w14:textFill>
              </w:rPr>
              <w:t>支持洋河股份牵头创建江苏省酿造制造业创新中心。</w:t>
            </w:r>
            <w:r>
              <w:rPr>
                <w:rFonts w:hint="eastAsia" w:cstheme="minorBidi"/>
                <w:color w:val="000000" w:themeColor="text1"/>
                <w:sz w:val="28"/>
                <w14:textFill>
                  <w14:solidFill>
                    <w14:schemeClr w14:val="tx1"/>
                  </w14:solidFill>
                </w14:textFill>
              </w:rPr>
              <w:t>参照国家和省制造业创新中心建设标准，以洋河股份为核心，联合酿造（酒）产业链上下游企业，以及江南大学、宿迁学院等高校院所，采取政府支持、股权合作、成果分享的市场化运作新机制、新模式，打造以应用基础研究、产业竞争前技术开发及成果转化为主要使命，为全行业提供关键共性技术服务的战略支撑平台。</w:t>
            </w:r>
          </w:p>
          <w:p>
            <w:pPr>
              <w:spacing w:line="400" w:lineRule="exact"/>
              <w:ind w:firstLine="562" w:firstLineChars="200"/>
              <w:rPr>
                <w:b/>
                <w:bCs/>
                <w:color w:val="000000" w:themeColor="text1"/>
                <w:sz w:val="28"/>
                <w:szCs w:val="32"/>
                <w14:textFill>
                  <w14:solidFill>
                    <w14:schemeClr w14:val="tx1"/>
                  </w14:solidFill>
                </w14:textFill>
              </w:rPr>
            </w:pPr>
            <w:r>
              <w:rPr>
                <w:rFonts w:hint="eastAsia" w:ascii="方正仿宋_GBK" w:hAnsi="方正仿宋_GBK" w:cs="方正仿宋_GBK"/>
                <w:b/>
                <w:color w:val="000000" w:themeColor="text1"/>
                <w:sz w:val="28"/>
                <w14:textFill>
                  <w14:solidFill>
                    <w14:schemeClr w14:val="tx1"/>
                  </w14:solidFill>
                </w14:textFill>
              </w:rPr>
              <w:t>支持斯迪克牵头创建江苏膜材料产业技术研究院。</w:t>
            </w:r>
            <w:r>
              <w:rPr>
                <w:rFonts w:hint="eastAsia" w:cstheme="minorBidi"/>
                <w:color w:val="000000" w:themeColor="text1"/>
                <w:sz w:val="28"/>
                <w14:textFill>
                  <w14:solidFill>
                    <w14:schemeClr w14:val="tx1"/>
                  </w14:solidFill>
                </w14:textFill>
              </w:rPr>
              <w:t>以斯迪克为核心，联合东南大学、江苏省产业技术研究院等高校院所，围绕消费电子、节能环保等重点应用领域，开展功能性涂层复合材料的技术研发，逐步形成科技攻关、人才培养、膜材料应用相辅相成的科学布局，打造江苏膜材料及相关领域的重要研究基地和技术提供者。</w:t>
            </w:r>
          </w:p>
        </w:tc>
      </w:tr>
    </w:tbl>
    <w:p>
      <w:pPr>
        <w:pStyle w:val="8"/>
        <w:spacing w:before="156" w:beforeLines="5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二、提高园区载体平台建设水平</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一是加快推动园区分类发展。</w:t>
      </w:r>
      <w:r>
        <w:rPr>
          <w:rFonts w:hint="eastAsia"/>
          <w:color w:val="000000" w:themeColor="text1"/>
          <w:sz w:val="32"/>
          <w:szCs w:val="32"/>
          <w14:textFill>
            <w14:solidFill>
              <w14:schemeClr w14:val="tx1"/>
            </w14:solidFill>
          </w14:textFill>
        </w:rPr>
        <w:t>启动“一区多园”试点工作，按照“7+X”思路，提升各类园区基础设施配套能力、资源保障服务能力、特色产业集聚能力。探索编制开发区总体发展规划，进一步明确全市开发区空间布局、产业定位和发展方向，重点支持</w:t>
      </w:r>
      <w:r>
        <w:rPr>
          <w:color w:val="000000" w:themeColor="text1"/>
          <w:sz w:val="32"/>
          <w:szCs w:val="32"/>
          <w14:textFill>
            <w14:solidFill>
              <w14:schemeClr w14:val="tx1"/>
            </w14:solidFill>
          </w14:textFill>
        </w:rPr>
        <w:t>泗阳经济开发区</w:t>
      </w:r>
      <w:r>
        <w:rPr>
          <w:rFonts w:hint="eastAsia"/>
          <w:color w:val="000000" w:themeColor="text1"/>
          <w:sz w:val="32"/>
          <w:szCs w:val="32"/>
          <w14:textFill>
            <w14:solidFill>
              <w14:schemeClr w14:val="tx1"/>
            </w14:solidFill>
          </w14:textFill>
        </w:rPr>
        <w:t>、泗洪经济开发区争</w:t>
      </w:r>
      <w:r>
        <w:rPr>
          <w:color w:val="000000" w:themeColor="text1"/>
          <w:sz w:val="32"/>
          <w:szCs w:val="32"/>
          <w14:textFill>
            <w14:solidFill>
              <w14:schemeClr w14:val="tx1"/>
            </w14:solidFill>
          </w14:textFill>
        </w:rPr>
        <w:t>创国家级经济开发区</w:t>
      </w:r>
      <w:r>
        <w:rPr>
          <w:rFonts w:hint="eastAsia"/>
          <w:color w:val="000000" w:themeColor="text1"/>
          <w:sz w:val="32"/>
          <w:szCs w:val="32"/>
          <w14:textFill>
            <w14:solidFill>
              <w14:schemeClr w14:val="tx1"/>
            </w14:solidFill>
          </w14:textFill>
        </w:rPr>
        <w:t>，泗洪西南岗开发区争创省级经济开发区。推动开发区对照特色创新示范园区、智慧园区、生态园区、知识产权园区等建设标准，加快载体平台创建，补齐短板，力争实现新突破。突出抓好南北共建园区高质量发展创新试点工作，有序推动苏宿园区拓园发展。</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二是完善各类园区功能配套。</w:t>
      </w:r>
      <w:r>
        <w:rPr>
          <w:rFonts w:hint="eastAsia"/>
          <w:color w:val="000000" w:themeColor="text1"/>
          <w:sz w:val="32"/>
          <w:szCs w:val="32"/>
          <w14:textFill>
            <w14:solidFill>
              <w14:schemeClr w14:val="tx1"/>
            </w14:solidFill>
          </w14:textFill>
        </w:rPr>
        <w:t>综合考虑经济发展现状、资源和能源条件、产业基础和特色，以重点产业、发展空间、功能区块、基础设施、配套设施及生态保护为主要内容，科学编制和修订开发区发展规划，完善道路、给排水、供气、供热等基础设施配套。</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三是加快对外开放载体平台建设。</w:t>
      </w:r>
      <w:r>
        <w:rPr>
          <w:rFonts w:hint="eastAsia"/>
          <w:color w:val="000000" w:themeColor="text1"/>
          <w:sz w:val="32"/>
          <w:szCs w:val="32"/>
          <w14:textFill>
            <w14:solidFill>
              <w14:schemeClr w14:val="tx1"/>
            </w14:solidFill>
          </w14:textFill>
        </w:rPr>
        <w:t>紧抓获批中国（江苏）自由贸易试验区苏州片区联动创新区契机，研究出台符合我市实际情况的相关政策，突出“差异化”定位、“个性化”发展，在体制机制的创新与融合，项目的招引与集聚，产城融合的深化与突破等方面进行探索，努力形成有“宿迁特色”的联动创新区发展模式。</w:t>
      </w:r>
    </w:p>
    <w:p>
      <w:pPr>
        <w:pStyle w:val="8"/>
        <w:spacing w:before="156" w:beforeLines="5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三、提高公共服务平台建设水平</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一是推动公共服务机构建设。</w:t>
      </w:r>
      <w:r>
        <w:rPr>
          <w:rFonts w:hint="eastAsia"/>
          <w:color w:val="000000" w:themeColor="text1"/>
          <w:sz w:val="32"/>
          <w:szCs w:val="32"/>
          <w14:textFill>
            <w14:solidFill>
              <w14:schemeClr w14:val="tx1"/>
            </w14:solidFill>
          </w14:textFill>
        </w:rPr>
        <w:t>以解决制约企业发展的突出问题为着力点，坚持市场化和公益性原则，大力培育信息咨询、技术支持、市场开拓、管理咨询、法律维权等专业性服务机构，培育一批能够提供智能制造整体解决方案的咨询服务机构。</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二是推进融资服务体系建设。</w:t>
      </w:r>
      <w:r>
        <w:rPr>
          <w:rFonts w:hint="eastAsia"/>
          <w:color w:val="000000" w:themeColor="text1"/>
          <w:sz w:val="32"/>
          <w:szCs w:val="32"/>
          <w14:textFill>
            <w14:solidFill>
              <w14:schemeClr w14:val="tx1"/>
            </w14:solidFill>
          </w14:textFill>
        </w:rPr>
        <w:t>拓宽企业融资渠道，持续实施企业挂牌上市激励政策，加强对后备上市企业的政策倾斜和培训指导，鼓励各类企业通过在境内外多层次资本市场上市、挂牌实现资本市场融资，完善融资担保体系，健全金融服务体系，加大金融创新力度，鼓励开展供应链金融、融资租赁等新型金融服务，加强金融对实体经济的支持，切实降低企业融资成本，努力化解企业融资难、融资贵问题。</w:t>
      </w:r>
    </w:p>
    <w:p>
      <w:pPr>
        <w:spacing w:line="580" w:lineRule="exact"/>
        <w:ind w:firstLine="643" w:firstLineChars="200"/>
      </w:pPr>
      <w:r>
        <w:rPr>
          <w:rFonts w:hint="eastAsia"/>
          <w:b/>
          <w:color w:val="000000" w:themeColor="text1"/>
          <w:sz w:val="32"/>
          <w:szCs w:val="32"/>
          <w14:textFill>
            <w14:solidFill>
              <w14:schemeClr w14:val="tx1"/>
            </w14:solidFill>
          </w14:textFill>
        </w:rPr>
        <w:t>三是推进人才服务体系建设。</w:t>
      </w:r>
      <w:r>
        <w:rPr>
          <w:rFonts w:hint="eastAsia"/>
          <w:color w:val="000000" w:themeColor="text1"/>
          <w:sz w:val="32"/>
          <w:szCs w:val="32"/>
          <w14:textFill>
            <w14:solidFill>
              <w14:schemeClr w14:val="tx1"/>
            </w14:solidFill>
          </w14:textFill>
        </w:rPr>
        <w:t>全面实施</w:t>
      </w:r>
      <w:r>
        <w:rPr>
          <w:color w:val="000000" w:themeColor="text1"/>
          <w:sz w:val="32"/>
          <w:szCs w:val="32"/>
          <w14:textFill>
            <w14:solidFill>
              <w14:schemeClr w14:val="tx1"/>
            </w14:solidFill>
          </w14:textFill>
        </w:rPr>
        <w:t>人才引领服务发展“五联五强”行动</w:t>
      </w:r>
      <w:r>
        <w:rPr>
          <w:rFonts w:hint="eastAsia"/>
          <w:color w:val="000000" w:themeColor="text1"/>
          <w:sz w:val="32"/>
          <w:szCs w:val="32"/>
          <w14:textFill>
            <w14:solidFill>
              <w14:schemeClr w14:val="tx1"/>
            </w14:solidFill>
          </w14:textFill>
        </w:rPr>
        <w:t>，打造宿迁特色人才服务品牌，优化“宿迁英才”窗口服务功能，打造政策集成、资源集约、服务集中的人才综合服务窗口，建设一网宣传、一线接听、一站服务的人才公共服务平台；升级“宿迁英才卡”综合服务功能，集成行政审批、子女入学、家属随迁、医疗保健、旅游观光、文化休闲、交通出行、金融等服务事项。</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580" w:lineRule="exact"/>
              <w:jc w:val="center"/>
              <w:rPr>
                <w:rFonts w:eastAsia="方正黑体_GBK"/>
                <w:color w:val="000000" w:themeColor="text1"/>
                <w:kern w:val="0"/>
                <w:sz w:val="28"/>
                <w:szCs w:val="28"/>
                <w14:textFill>
                  <w14:solidFill>
                    <w14:schemeClr w14:val="tx1"/>
                  </w14:solidFill>
                </w14:textFill>
              </w:rPr>
            </w:pPr>
            <w:r>
              <w:rPr>
                <w:rFonts w:eastAsia="方正黑体_GBK"/>
                <w:color w:val="000000" w:themeColor="text1"/>
                <w:kern w:val="0"/>
                <w:sz w:val="28"/>
                <w:szCs w:val="28"/>
                <w14:textFill>
                  <w14:solidFill>
                    <w14:schemeClr w14:val="tx1"/>
                  </w14:solidFill>
                </w14:textFill>
              </w:rPr>
              <w:t xml:space="preserve">专栏6-8  </w:t>
            </w:r>
            <w:r>
              <w:rPr>
                <w:rFonts w:eastAsia="方正黑体_GBK"/>
                <w:color w:val="000000" w:themeColor="text1"/>
                <w:sz w:val="28"/>
                <w:szCs w:val="28"/>
                <w14:textFill>
                  <w14:solidFill>
                    <w14:schemeClr w14:val="tx1"/>
                  </w14:solidFill>
                </w14:textFill>
              </w:rPr>
              <w:t>实施平台支撑提升行动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00" w:lineRule="exact"/>
              <w:ind w:firstLine="560" w:firstLineChars="200"/>
              <w:rPr>
                <w:color w:val="000000" w:themeColor="text1"/>
                <w:kern w:val="0"/>
                <w:sz w:val="28"/>
                <w:szCs w:val="28"/>
                <w14:textFill>
                  <w14:solidFill>
                    <w14:schemeClr w14:val="tx1"/>
                  </w14:solidFill>
                </w14:textFill>
              </w:rPr>
            </w:pPr>
            <w:r>
              <w:rPr>
                <w:color w:val="000000" w:themeColor="text1"/>
                <w:sz w:val="28"/>
                <w:szCs w:val="32"/>
                <w14:textFill>
                  <w14:solidFill>
                    <w14:schemeClr w14:val="tx1"/>
                  </w14:solidFill>
                </w14:textFill>
              </w:rPr>
              <w:t>支持国家级、省级开发区升级进位；支持园区抓住“一区多园”政策机遇加快建设，不断提升园区功能；积极创建各类产业基地、特色载体。支持龙头企业和科研院所牵头组建省级以上制造业创新中心、产业创新中心等重大科创平台，建成2个以上。加快建设企业服务云平台，提供政策咨询、问题处理、供需对接等综合服务，每年新增市级以上公共服务平台5个以上。培育产业集群促进机构，定期组织开展产业集群交流宣传、联合参展、人才引进培养、咨询服务等公共服务活动，每年新增5个以上。培育引进两化融合、两业融合、绿色制造、智能制造、网络信息安全等系统解决方案服务商，每年新增5个以上。支持企业围绕工业设计、总集成总承包、柔性化定制、检验检测服务等方向进行服务化改造提升，每年创建省级服务型制造示范企业2户以上、市级10户以上。每年创建省级生产性服务业集聚区、科技服务业特色示范基地各1个。</w:t>
            </w:r>
          </w:p>
        </w:tc>
      </w:tr>
    </w:tbl>
    <w:p>
      <w:pPr>
        <w:spacing w:line="580" w:lineRule="exact"/>
        <w:rPr>
          <w:rFonts w:eastAsia="方正楷体_GBK"/>
          <w:b/>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64" w:name="_Toc75019432"/>
      <w:bookmarkStart w:id="65" w:name="_Toc17210"/>
      <w:r>
        <w:rPr>
          <w:rFonts w:hint="eastAsia" w:ascii="Times New Roman" w:hAnsi="Times New Roman" w:eastAsia="方正楷体_GBK"/>
          <w:b w:val="0"/>
          <w:color w:val="000000" w:themeColor="text1"/>
          <w14:textFill>
            <w14:solidFill>
              <w14:schemeClr w14:val="tx1"/>
            </w14:solidFill>
          </w14:textFill>
        </w:rPr>
        <w:t xml:space="preserve">第七节  </w:t>
      </w:r>
      <w:bookmarkEnd w:id="64"/>
      <w:r>
        <w:rPr>
          <w:rFonts w:hint="eastAsia" w:ascii="Times New Roman" w:hAnsi="Times New Roman" w:eastAsia="方正楷体_GBK"/>
          <w:b w:val="0"/>
          <w:color w:val="000000" w:themeColor="text1"/>
          <w14:textFill>
            <w14:solidFill>
              <w14:schemeClr w14:val="tx1"/>
            </w14:solidFill>
          </w14:textFill>
        </w:rPr>
        <w:t>积极打造开放融合新格局</w:t>
      </w:r>
      <w:bookmarkEnd w:id="65"/>
    </w:p>
    <w:p>
      <w:pPr>
        <w:spacing w:line="580" w:lineRule="exact"/>
        <w:rPr>
          <w:rFonts w:eastAsia="方正楷体_GBK"/>
          <w:b/>
          <w:color w:val="000000" w:themeColor="text1"/>
          <w:sz w:val="32"/>
          <w:szCs w:val="32"/>
          <w14:textFill>
            <w14:solidFill>
              <w14:schemeClr w14:val="tx1"/>
            </w14:solidFill>
          </w14:textFill>
        </w:rPr>
      </w:pP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一、推动市内企业合作发展</w:t>
      </w:r>
    </w:p>
    <w:p>
      <w:pPr>
        <w:spacing w:line="580" w:lineRule="exact"/>
        <w:ind w:firstLine="643" w:firstLineChars="20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一是强化企业上下游协作。</w:t>
      </w:r>
      <w:r>
        <w:rPr>
          <w:rFonts w:hint="eastAsia"/>
          <w:color w:val="000000" w:themeColor="text1"/>
          <w:sz w:val="32"/>
          <w:szCs w:val="32"/>
          <w14:textFill>
            <w14:solidFill>
              <w14:schemeClr w14:val="tx1"/>
            </w14:solidFill>
          </w14:textFill>
        </w:rPr>
        <w:t>围绕</w:t>
      </w:r>
      <w:r>
        <w:rPr>
          <w:color w:val="000000" w:themeColor="text1"/>
          <w:sz w:val="32"/>
          <w:szCs w:val="32"/>
          <w14:textFill>
            <w14:solidFill>
              <w14:schemeClr w14:val="tx1"/>
            </w14:solidFill>
          </w14:textFill>
        </w:rPr>
        <w:t>20</w:t>
      </w:r>
      <w:r>
        <w:rPr>
          <w:rFonts w:hint="eastAsia"/>
          <w:color w:val="000000" w:themeColor="text1"/>
          <w:sz w:val="32"/>
          <w:szCs w:val="32"/>
          <w14:textFill>
            <w14:solidFill>
              <w14:schemeClr w14:val="tx1"/>
            </w14:solidFill>
          </w14:textFill>
        </w:rPr>
        <w:t>条重点产业链，全面梳理供应链关键流程、关键环节，精准打通供应链堵点、断点，畅通产业循环、市场循环，推动大中小企业、内外贸配套协作各环节协同发展，维护产业链、供应链安全稳定。建立线上产业供需对接平台，更大力度排查产业链供应链存在的“断链”“断供”情况，推动产品替代、技术对接、应急攻关。</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二是推动企业协同开拓市场。</w:t>
      </w:r>
      <w:r>
        <w:rPr>
          <w:rFonts w:hint="eastAsia"/>
          <w:color w:val="000000" w:themeColor="text1"/>
          <w:sz w:val="32"/>
          <w:szCs w:val="32"/>
          <w14:textFill>
            <w14:solidFill>
              <w14:schemeClr w14:val="tx1"/>
            </w14:solidFill>
          </w14:textFill>
        </w:rPr>
        <w:t>聚焦</w:t>
      </w:r>
      <w:r>
        <w:rPr>
          <w:color w:val="000000" w:themeColor="text1"/>
          <w:sz w:val="32"/>
          <w:szCs w:val="32"/>
          <w14:textFill>
            <w14:solidFill>
              <w14:schemeClr w14:val="tx1"/>
            </w14:solidFill>
          </w14:textFill>
        </w:rPr>
        <w:t>20</w:t>
      </w:r>
      <w:r>
        <w:rPr>
          <w:rFonts w:hint="eastAsia"/>
          <w:color w:val="000000" w:themeColor="text1"/>
          <w:sz w:val="32"/>
          <w:szCs w:val="32"/>
          <w14:textFill>
            <w14:solidFill>
              <w14:schemeClr w14:val="tx1"/>
            </w14:solidFill>
          </w14:textFill>
        </w:rPr>
        <w:t>条重点产业链，推广联合营销理念与方式，提高上下游协作水平，探索链上产品捆绑销售模式，加大线上线下渠道对接和展销力度，促进重点产业链上下游协同开拓市场。组织链上企业共同参加中国国际工业博览会、宿迁产品系列展销活动、世界智能制造大会、江苏国际服装节、中国国际酒业博览会、中国国际进口博览会等大型产业活动，在宿迁主办更多全国性的产业发展高峰论坛，进一步提升宿迁企业和产品的知名度和美誉度，扩大宿迁中国酒都、光伏之都、新兴纺都等区域品牌的影响力。</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二、持续深化全省集群协作分工</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一是提高现有集群分工参与度。</w:t>
      </w:r>
      <w:r>
        <w:rPr>
          <w:rFonts w:hint="eastAsia"/>
          <w:color w:val="000000" w:themeColor="text1"/>
          <w:sz w:val="32"/>
          <w:szCs w:val="32"/>
          <w14:textFill>
            <w14:solidFill>
              <w14:schemeClr w14:val="tx1"/>
            </w14:solidFill>
          </w14:textFill>
        </w:rPr>
        <w:t>充分发挥绿色食品产业集群核心区作用，聚焦酿造（酒）、食品加工、畜禽和水产品精深加工等</w:t>
      </w:r>
      <w:r>
        <w:rPr>
          <w:color w:val="000000" w:themeColor="text1"/>
          <w:sz w:val="32"/>
          <w:szCs w:val="32"/>
          <w14:textFill>
            <w14:solidFill>
              <w14:schemeClr w14:val="tx1"/>
            </w14:solidFill>
          </w14:textFill>
        </w:rPr>
        <w:t>3</w:t>
      </w:r>
      <w:r>
        <w:rPr>
          <w:rFonts w:hint="eastAsia"/>
          <w:color w:val="000000" w:themeColor="text1"/>
          <w:sz w:val="32"/>
          <w:szCs w:val="32"/>
          <w14:textFill>
            <w14:solidFill>
              <w14:schemeClr w14:val="tx1"/>
            </w14:solidFill>
          </w14:textFill>
        </w:rPr>
        <w:t>条产业链，争取在引航企业培育、品牌质量提升、高端研发平台建设、产业链基础能力升级等方面取得全方位突破，主动联合淮安、徐州等市，牵头成立产业联盟和创新共同体，举办高层次产业活动，共同开拓海内外市场，促进产业链上下游联动发展，树立江苏绿色食品产业的“宿迁旗帜”。</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二是争取参与更多集群分工协作</w:t>
      </w:r>
      <w:r>
        <w:rPr>
          <w:rFonts w:hint="eastAsia"/>
          <w:color w:val="000000" w:themeColor="text1"/>
          <w:sz w:val="32"/>
          <w:szCs w:val="32"/>
          <w14:textFill>
            <w14:solidFill>
              <w14:schemeClr w14:val="tx1"/>
            </w14:solidFill>
          </w14:textFill>
        </w:rPr>
        <w:t>。聚焦化学纤维、纺织服装、晶硅光伏、动力电池、生物医药、集成电路、大数据</w:t>
      </w:r>
      <w:r>
        <w:rPr>
          <w:color w:val="000000" w:themeColor="text1"/>
          <w:sz w:val="32"/>
          <w:szCs w:val="32"/>
          <w14:textFill>
            <w14:solidFill>
              <w14:schemeClr w14:val="tx1"/>
            </w14:solidFill>
          </w14:textFill>
        </w:rPr>
        <w:t>+</w:t>
      </w:r>
      <w:r>
        <w:rPr>
          <w:rFonts w:hint="eastAsia"/>
          <w:color w:val="000000" w:themeColor="text1"/>
          <w:sz w:val="32"/>
          <w:szCs w:val="32"/>
          <w14:textFill>
            <w14:solidFill>
              <w14:schemeClr w14:val="tx1"/>
            </w14:solidFill>
          </w14:textFill>
        </w:rPr>
        <w:t>等</w:t>
      </w:r>
      <w:r>
        <w:rPr>
          <w:color w:val="000000" w:themeColor="text1"/>
          <w:sz w:val="32"/>
          <w:szCs w:val="32"/>
          <w14:textFill>
            <w14:solidFill>
              <w14:schemeClr w14:val="tx1"/>
            </w14:solidFill>
          </w14:textFill>
        </w:rPr>
        <w:t>6</w:t>
      </w:r>
      <w:r>
        <w:rPr>
          <w:rFonts w:hint="eastAsia"/>
          <w:color w:val="000000" w:themeColor="text1"/>
          <w:sz w:val="32"/>
          <w:szCs w:val="32"/>
          <w14:textFill>
            <w14:solidFill>
              <w14:schemeClr w14:val="tx1"/>
            </w14:solidFill>
          </w14:textFill>
        </w:rPr>
        <w:t>条全省打造的重点产业链，积极对接苏州、南京、无锡、常州、南通等市，招引优质项目落户宿迁，加强与本地企业的协同研发和供应链合作，进一步做特做强我市优势环节，争取在“十四五”期间成为新型电力（新能源）装备、高端纺织、生物医药和新型医疗器械、集成电路、汽车及零部件（含新能源汽车）、核心信息技术等</w:t>
      </w:r>
      <w:r>
        <w:rPr>
          <w:color w:val="000000" w:themeColor="text1"/>
          <w:sz w:val="32"/>
          <w:szCs w:val="32"/>
          <w14:textFill>
            <w14:solidFill>
              <w14:schemeClr w14:val="tx1"/>
            </w14:solidFill>
          </w14:textFill>
        </w:rPr>
        <w:t>6</w:t>
      </w:r>
      <w:r>
        <w:rPr>
          <w:rFonts w:hint="eastAsia"/>
          <w:color w:val="000000" w:themeColor="text1"/>
          <w:sz w:val="32"/>
          <w:szCs w:val="32"/>
          <w14:textFill>
            <w14:solidFill>
              <w14:schemeClr w14:val="tx1"/>
            </w14:solidFill>
          </w14:textFill>
        </w:rPr>
        <w:t>个全省先进制造业集群发展的重点区域。</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三、积极融入长三角区域一体化</w:t>
      </w:r>
    </w:p>
    <w:p>
      <w:pPr>
        <w:spacing w:line="580" w:lineRule="exact"/>
        <w:ind w:firstLine="643" w:firstLineChars="200"/>
        <w:rPr>
          <w:color w:val="000000" w:themeColor="text1"/>
          <w:sz w:val="32"/>
          <w:szCs w:val="32"/>
          <w14:textFill>
            <w14:solidFill>
              <w14:schemeClr w14:val="tx1"/>
            </w14:solidFill>
          </w14:textFill>
        </w:rPr>
      </w:pPr>
      <w:r>
        <w:rPr>
          <w:rFonts w:hint="eastAsia" w:ascii="方正仿宋_GBK" w:hAnsi="Calibri"/>
          <w:b/>
          <w:bCs/>
          <w:color w:val="000000" w:themeColor="text1"/>
          <w:sz w:val="32"/>
          <w:szCs w:val="32"/>
          <w:lang w:val="zh-CN" w:bidi="zh-CN"/>
          <w14:textFill>
            <w14:solidFill>
              <w14:schemeClr w14:val="tx1"/>
            </w14:solidFill>
          </w14:textFill>
        </w:rPr>
        <w:t>一是承接优势产业项目转移。</w:t>
      </w:r>
      <w:r>
        <w:rPr>
          <w:rFonts w:hint="eastAsia"/>
          <w:color w:val="000000" w:themeColor="text1"/>
          <w:sz w:val="32"/>
          <w:szCs w:val="32"/>
          <w14:textFill>
            <w14:solidFill>
              <w14:schemeClr w14:val="tx1"/>
            </w14:solidFill>
          </w14:textFill>
        </w:rPr>
        <w:t>结合宿迁资源特点和产业基础，聚焦</w:t>
      </w:r>
      <w:r>
        <w:rPr>
          <w:color w:val="000000" w:themeColor="text1"/>
          <w:sz w:val="32"/>
          <w:szCs w:val="32"/>
          <w14:textFill>
            <w14:solidFill>
              <w14:schemeClr w14:val="tx1"/>
            </w14:solidFill>
          </w14:textFill>
        </w:rPr>
        <w:t>20</w:t>
      </w:r>
      <w:r>
        <w:rPr>
          <w:rFonts w:hint="eastAsia"/>
          <w:color w:val="000000" w:themeColor="text1"/>
          <w:sz w:val="32"/>
          <w:szCs w:val="32"/>
          <w14:textFill>
            <w14:solidFill>
              <w14:schemeClr w14:val="tx1"/>
            </w14:solidFill>
          </w14:textFill>
        </w:rPr>
        <w:t>条重点产业链，梳理长三角地区尤其是苏南、上海、浙江等地相关产业的发展现状与特点，分析和遴选在产业链上与宿迁有互补互促关系的地区，实施有针对性的产业链提升联合行动，积极吸收技术和资本溢出，承接对口优质产业项目，助力提升我市产业链特色优势环节竞争力，深化重点产业链的一体化发展。</w:t>
      </w:r>
    </w:p>
    <w:p>
      <w:pPr>
        <w:spacing w:line="580" w:lineRule="exact"/>
        <w:ind w:firstLine="643" w:firstLineChars="200"/>
        <w:rPr>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二是参与重大技术联合攻关</w:t>
      </w:r>
      <w:r>
        <w:rPr>
          <w:rFonts w:hint="eastAsia"/>
          <w:bCs/>
          <w:color w:val="000000" w:themeColor="text1"/>
          <w:sz w:val="32"/>
          <w:szCs w:val="32"/>
          <w14:textFill>
            <w14:solidFill>
              <w14:schemeClr w14:val="tx1"/>
            </w14:solidFill>
          </w14:textFill>
        </w:rPr>
        <w:t>。聚焦先进膜材料、酿造（酒）、激光装备等重点产业链，充分挖掘我市特色优势产业技术强项，以自身技术所长积极参与长三角地区相关领域的重大技术联合攻关项目，借助联合龙头企业、科研院所，以及综合性国家科学中心、国家实验室和长三角国家技术创新中心等高端平台开展技术攻关，不断强化我市重点产业链关键技术实力，深化重点技术的一体化发展。</w:t>
      </w:r>
    </w:p>
    <w:p>
      <w:pPr>
        <w:spacing w:line="580" w:lineRule="exact"/>
        <w:ind w:firstLine="643" w:firstLineChars="200"/>
        <w:rPr>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三是参与重点领域标准体系建设</w:t>
      </w:r>
      <w:r>
        <w:rPr>
          <w:rFonts w:hint="eastAsia"/>
          <w:bCs/>
          <w:color w:val="000000" w:themeColor="text1"/>
          <w:sz w:val="32"/>
          <w:szCs w:val="32"/>
          <w14:textFill>
            <w14:solidFill>
              <w14:schemeClr w14:val="tx1"/>
            </w14:solidFill>
          </w14:textFill>
        </w:rPr>
        <w:t>。聚焦酿造（酒）、先进膜材料等重点产业链，引导和支持我市龙头企业对标国内外先进，积极参与长三角地区质量标准提升试点示范工程，引进和推广长三角先进质量标准的同时，分享自身技术标准和研发经验，在重点领域大力推动宿迁标准成为长三角区域乃至国家标准，不断强化我市重点产业链标准话语权，深化质量标准的一体化发展。</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四、持续提升产业对外开放水平</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一是提高利用外资水平。</w:t>
      </w:r>
      <w:r>
        <w:rPr>
          <w:rFonts w:hint="eastAsia"/>
          <w:color w:val="000000" w:themeColor="text1"/>
          <w:sz w:val="32"/>
          <w:szCs w:val="32"/>
          <w14:textFill>
            <w14:solidFill>
              <w14:schemeClr w14:val="tx1"/>
            </w14:solidFill>
          </w14:textFill>
        </w:rPr>
        <w:t>抓住“一带一路”“双循环”新发展格局、江苏建设“开放强省”等重大机遇，面向两种资源两个市场，引进来和走出去并举，推进外商投资便利化，学习借鉴国家自贸区改革理念，打造与国际接轨的营商环境，鼓励外资通过合资、参股、并购等方式参与企业改组和兼并重组。</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二是培育跨国企业集团。</w:t>
      </w:r>
      <w:r>
        <w:rPr>
          <w:rFonts w:hint="eastAsia"/>
          <w:color w:val="000000" w:themeColor="text1"/>
          <w:sz w:val="32"/>
          <w:szCs w:val="32"/>
          <w14:textFill>
            <w14:solidFill>
              <w14:schemeClr w14:val="tx1"/>
            </w14:solidFill>
          </w14:textFill>
        </w:rPr>
        <w:t>支持有条件的大企业顺势应时加快国际化经营步伐，通过海外并购重组提升企业技术、研发、品牌的国际影响力，在更大范围、更广领域和更高层次整合资源参与合作竞争，提升国际合作的水平和层次，推动企业向产业链和价值链中高端迈进。</w:t>
      </w:r>
    </w:p>
    <w:p>
      <w:pPr>
        <w:spacing w:line="580" w:lineRule="exact"/>
        <w:ind w:firstLine="643" w:firstLineChars="200"/>
        <w:rPr>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三是深化产业国际合作。</w:t>
      </w:r>
      <w:r>
        <w:rPr>
          <w:rFonts w:hint="eastAsia"/>
          <w:color w:val="000000" w:themeColor="text1"/>
          <w:sz w:val="32"/>
          <w:szCs w:val="32"/>
          <w14:textFill>
            <w14:solidFill>
              <w14:schemeClr w14:val="tx1"/>
            </w14:solidFill>
          </w14:textFill>
        </w:rPr>
        <w:t>鼓励企业积极参与周边国家互联互通基础设施建设，推动机电装备、纺织服装、食品饮料、绿色家居等优势产业率先“走出去”，加强分类指导和重点支持，开展跨国收购、联合经营，建设境外生产加工基地和产业集聚区，加快培育一批宿迁特色鲜明、具有国际竞争力的企业。</w:t>
      </w:r>
    </w:p>
    <w:p>
      <w:pPr>
        <w:spacing w:line="580" w:lineRule="exact"/>
        <w:ind w:firstLine="640" w:firstLineChars="200"/>
        <w:rPr>
          <w:color w:val="000000" w:themeColor="text1"/>
          <w:sz w:val="32"/>
          <w:szCs w:val="32"/>
          <w14:textFill>
            <w14:solidFill>
              <w14:schemeClr w14:val="tx1"/>
            </w14:solidFill>
          </w14:textFill>
        </w:rPr>
      </w:pPr>
    </w:p>
    <w:p>
      <w:pPr>
        <w:pStyle w:val="2"/>
        <w:spacing w:line="580" w:lineRule="exact"/>
        <w:ind w:firstLine="331"/>
        <w:rPr>
          <w:color w:val="000000" w:themeColor="text1"/>
          <w14:textFill>
            <w14:solidFill>
              <w14:schemeClr w14:val="tx1"/>
            </w14:solidFill>
          </w14:textFill>
        </w:rPr>
      </w:pPr>
    </w:p>
    <w:p>
      <w:pPr>
        <w:widowControl/>
        <w:spacing w:line="580" w:lineRule="exact"/>
        <w:jc w:val="left"/>
        <w:rPr>
          <w:rFonts w:ascii="Calibri" w:hAnsi="Calibri" w:eastAsia="宋体"/>
          <w:b/>
          <w:bCs/>
          <w:color w:val="000000" w:themeColor="text1"/>
          <w:sz w:val="33"/>
          <w:szCs w:val="33"/>
          <w14:textFill>
            <w14:solidFill>
              <w14:schemeClr w14:val="tx1"/>
            </w14:solidFill>
          </w14:textFill>
        </w:rPr>
      </w:pPr>
      <w:r>
        <w:rPr>
          <w:color w:val="000000" w:themeColor="text1"/>
          <w14:textFill>
            <w14:solidFill>
              <w14:schemeClr w14:val="tx1"/>
            </w14:solidFill>
          </w14:textFill>
        </w:rPr>
        <w:br w:type="page"/>
      </w:r>
    </w:p>
    <w:p>
      <w:pPr>
        <w:pStyle w:val="2"/>
        <w:spacing w:line="580" w:lineRule="exact"/>
        <w:ind w:firstLine="331"/>
        <w:rPr>
          <w:color w:val="000000" w:themeColor="text1"/>
          <w14:textFill>
            <w14:solidFill>
              <w14:schemeClr w14:val="tx1"/>
            </w14:solidFill>
          </w14:textFill>
        </w:rPr>
      </w:pPr>
    </w:p>
    <w:p>
      <w:pPr>
        <w:pStyle w:val="6"/>
        <w:spacing w:before="0" w:after="0" w:line="580" w:lineRule="exact"/>
        <w:jc w:val="center"/>
        <w:rPr>
          <w:rFonts w:eastAsia="方正黑体_GBK"/>
          <w:b w:val="0"/>
          <w:color w:val="000000" w:themeColor="text1"/>
          <w:sz w:val="32"/>
          <w:szCs w:val="32"/>
          <w14:textFill>
            <w14:solidFill>
              <w14:schemeClr w14:val="tx1"/>
            </w14:solidFill>
          </w14:textFill>
        </w:rPr>
      </w:pPr>
      <w:bookmarkStart w:id="66" w:name="_Toc14301"/>
      <w:bookmarkStart w:id="67" w:name="_Toc75019433"/>
      <w:r>
        <w:rPr>
          <w:rFonts w:hint="eastAsia" w:eastAsia="方正黑体_GBK"/>
          <w:b w:val="0"/>
          <w:color w:val="000000" w:themeColor="text1"/>
          <w:sz w:val="32"/>
          <w:szCs w:val="32"/>
          <w14:textFill>
            <w14:solidFill>
              <w14:schemeClr w14:val="tx1"/>
            </w14:solidFill>
          </w14:textFill>
        </w:rPr>
        <w:t>第七章  保障措施</w:t>
      </w:r>
      <w:bookmarkEnd w:id="66"/>
      <w:bookmarkEnd w:id="67"/>
    </w:p>
    <w:p>
      <w:pPr>
        <w:spacing w:line="580" w:lineRule="exact"/>
        <w:rPr>
          <w:rFonts w:eastAsia="方正楷体_GBK"/>
          <w:b/>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68" w:name="_Toc21529"/>
      <w:bookmarkStart w:id="69" w:name="_Toc75019434"/>
      <w:r>
        <w:rPr>
          <w:rFonts w:hint="eastAsia" w:ascii="Times New Roman" w:hAnsi="Times New Roman" w:eastAsia="方正楷体_GBK"/>
          <w:b w:val="0"/>
          <w:color w:val="000000" w:themeColor="text1"/>
          <w14:textFill>
            <w14:solidFill>
              <w14:schemeClr w14:val="tx1"/>
            </w14:solidFill>
          </w14:textFill>
        </w:rPr>
        <w:t>第一节  强化组织领导</w:t>
      </w:r>
      <w:bookmarkEnd w:id="68"/>
      <w:bookmarkEnd w:id="69"/>
    </w:p>
    <w:p>
      <w:pPr>
        <w:spacing w:line="580" w:lineRule="exact"/>
        <w:rPr>
          <w:rFonts w:eastAsia="方正楷体_GBK"/>
          <w:b/>
          <w:color w:val="000000" w:themeColor="text1"/>
          <w:sz w:val="32"/>
          <w:szCs w:val="32"/>
          <w14:textFill>
            <w14:solidFill>
              <w14:schemeClr w14:val="tx1"/>
            </w14:solidFill>
          </w14:textFill>
        </w:rPr>
      </w:pP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一、完善组织领导机制</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发挥规划引领作用，加强战略谋划，重视前瞻性研究，编制重点产业发展专项规划，加强与国家、省、市总体规划、重点产业发展规划等相关规划的衔接和协调，确保发展规划的指导性、约束性和延续性。建立完善工业经济高质量发展规划协调管理机制，切实加强组织领导，统筹协调事关工业经济发展的全局性工作，加强部门联动，形成工作合力。</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二、建立工作推进机制</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以高质量发展为导向，制定和实施“十四五”工业经济高质量发展规划落实推进计划，分解目标任务，明确牵头单位和工作责任。定期召开工作推进协调会，汇报各区（县）、各相关部门工作推进情况，协调解决推进过程中的难题；定期召开全市推进工作会议，总结交流工作推进经验和成效，部署下一阶段工作。</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三、建立跟踪督查机制</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实行动态评估机制，对规划的实施进行动态管理和监督，定期评估规划的实施效果，及时就规划调整提出政策建议，强化工业经济高质量发展年度目标考核，形成切实可行的规划执行机制，提高规划实施水平。开展“十四五”规划实施情况中期评估，客观评价规划实施取得的进展成效，总结提炼推进规划实施的经验做法，深入剖析规划实施中出现的问题及原因，提出对策建议，进一步强化规划的战略导向作用，持续推动各项任务顺利实施。</w:t>
      </w:r>
    </w:p>
    <w:p>
      <w:pPr>
        <w:spacing w:line="580" w:lineRule="exact"/>
        <w:rPr>
          <w:rFonts w:eastAsia="方正楷体_GBK"/>
          <w:b/>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70" w:name="_Toc13800"/>
      <w:bookmarkStart w:id="71" w:name="_Toc75019435"/>
      <w:r>
        <w:rPr>
          <w:rFonts w:hint="eastAsia" w:ascii="Times New Roman" w:hAnsi="Times New Roman" w:eastAsia="方正楷体_GBK"/>
          <w:b w:val="0"/>
          <w:color w:val="000000" w:themeColor="text1"/>
          <w14:textFill>
            <w14:solidFill>
              <w14:schemeClr w14:val="tx1"/>
            </w14:solidFill>
          </w14:textFill>
        </w:rPr>
        <w:t>第二节  强化政策支持</w:t>
      </w:r>
      <w:bookmarkEnd w:id="70"/>
      <w:bookmarkEnd w:id="71"/>
    </w:p>
    <w:p>
      <w:pPr>
        <w:spacing w:line="580" w:lineRule="exact"/>
        <w:rPr>
          <w:rFonts w:eastAsia="方正楷体_GBK"/>
          <w:b/>
          <w:color w:val="000000" w:themeColor="text1"/>
          <w:sz w:val="32"/>
          <w:szCs w:val="32"/>
          <w14:textFill>
            <w14:solidFill>
              <w14:schemeClr w14:val="tx1"/>
            </w14:solidFill>
          </w14:textFill>
        </w:rPr>
      </w:pP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一、发挥资金引导作用</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积极落实国家、省战略性新兴产业发展、工业强基、工业和信息产业转型升级等促进工业经济发展的各项政策措施，统筹安排和使用好各级相关专项引导资金，加大对企业增品种、提品质、创品牌等支持力度，重点扶持“6+3+X”产业体系建设、技术改造、绿色发展、两化融合、公共服务平台等项目。聚焦产业项目招引和孵化、企业技术改造、两化融合、绿色发展等关键领域，不断制定完善市级财政专项资金支持政策，加大资金支持政策倾斜力度，进一步强化财政专项资金的导向作用，提高财政资金使用效率。</w:t>
      </w:r>
    </w:p>
    <w:p>
      <w:pPr>
        <w:pStyle w:val="8"/>
        <w:spacing w:before="156" w:beforeLines="5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二、强化资源要素保障</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及时掌握企业水、电、气等生产要素保障信息，加强生产要素协调，统筹做好向上争取和内部挖潜，充分协调市内外资源，帮助重点企业和重点项目解决水煤电油汽运等生产要素供应。加快企业信用体系建设，加大银企（保）合作力度，跟踪并落实银企合作项目到位情况，努力缓解企业特别是中小企业的融资困难。加强企业用工支持，广泛拓展人力资源供给渠道，满足企业多样化用工需求。加强交通物流基础设施保障，统筹推进宿连航道等重大交通基础设施建设，加快物流园区、专业物流中心建设，努力把运河宿迁港建成苏北运河第一枢纽港，全面打造内通外联的“公铁水”联运体系。</w:t>
      </w:r>
    </w:p>
    <w:p>
      <w:pPr>
        <w:pStyle w:val="8"/>
        <w:spacing w:before="156" w:beforeLines="5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三、优化土地统筹配置</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按照“保障发展、集约利用”的原则，科学统筹市级产业用地指标，优先保障重大产业平台项目用地需求，引导企业加强低效产业用地再开发，积极盘活存量工业用地，提高土地利用效率。探索建立以单位土地面积投资强度、产出效益、创造税收等为指标的分区域、分行业工业用地标准体系，深化工业企业投资项目“多评合一”改革成果，建立基于亩均效益指标的投资项目评估体系，针对项目评估结果给予差别化供地，切实提升土地产出效益。</w:t>
      </w:r>
    </w:p>
    <w:p>
      <w:pPr>
        <w:spacing w:line="580" w:lineRule="exact"/>
        <w:rPr>
          <w:rFonts w:eastAsia="方正楷体_GBK"/>
          <w:b/>
          <w:color w:val="000000" w:themeColor="text1"/>
          <w:sz w:val="32"/>
          <w:szCs w:val="32"/>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72" w:name="_Toc75019436"/>
      <w:bookmarkStart w:id="73" w:name="_Toc15907"/>
      <w:r>
        <w:rPr>
          <w:rFonts w:hint="eastAsia" w:ascii="Times New Roman" w:hAnsi="Times New Roman" w:eastAsia="方正楷体_GBK"/>
          <w:b w:val="0"/>
          <w:color w:val="000000" w:themeColor="text1"/>
          <w14:textFill>
            <w14:solidFill>
              <w14:schemeClr w14:val="tx1"/>
            </w14:solidFill>
          </w14:textFill>
        </w:rPr>
        <w:t>第三节  强化人才引培</w:t>
      </w:r>
      <w:bookmarkEnd w:id="72"/>
      <w:bookmarkEnd w:id="73"/>
    </w:p>
    <w:p>
      <w:pPr>
        <w:spacing w:line="580" w:lineRule="exact"/>
        <w:rPr>
          <w:rFonts w:eastAsia="方正楷体_GBK"/>
          <w:b/>
          <w:color w:val="000000" w:themeColor="text1"/>
          <w:sz w:val="32"/>
          <w:szCs w:val="32"/>
          <w14:textFill>
            <w14:solidFill>
              <w14:schemeClr w14:val="tx1"/>
            </w14:solidFill>
          </w14:textFill>
        </w:rPr>
      </w:pP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一、持续加强招才引智</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推动重大招商活动与招才引智、招院引所活动有机结合、有效联动，通过举办宿迁人才发展大会、高校毕业生·高层次人才·高技术项目“三对接”、高层次人才创新创业大赛、“百所院校宿迁行”、“千名学子看家乡”等多种品牌活动，突出“高精尖缺”导向，瞄准重点产业链关键环节和核心技术领域，实施“千名领军人才集聚计划”“凤还巢计划”“名校优生计划”，引进一批高层次人才、紧缺型人才、创新创业人才及掌握绝技绝活的高技能人才。完善人才保障激励机制，持续实施分级人才生活补贴等特惠政策，鼓励用人单位通过顾问指导、短期兼职、退休返聘、技术入股等方式精准引才，建立健全以社会保险为基础、政府奖励为导向、企业奖励为主体的人才保障和激励体系。</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二、加大人才培养力度</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大力实施“英才名匠计划”“工匠培育工程”，培育一批</w:t>
      </w:r>
      <w:r>
        <w:rPr>
          <w:color w:val="000000" w:themeColor="text1"/>
          <w:sz w:val="32"/>
          <w:szCs w:val="32"/>
          <w14:textFill>
            <w14:solidFill>
              <w14:schemeClr w14:val="tx1"/>
            </w14:solidFill>
          </w14:textFill>
        </w:rPr>
        <w:t>企业经营管理人才、技术研发人才</w:t>
      </w:r>
      <w:r>
        <w:rPr>
          <w:rFonts w:hint="eastAsia"/>
          <w:color w:val="000000" w:themeColor="text1"/>
          <w:sz w:val="32"/>
          <w:szCs w:val="32"/>
          <w14:textFill>
            <w14:solidFill>
              <w14:schemeClr w14:val="tx1"/>
            </w14:solidFill>
          </w14:textFill>
        </w:rPr>
        <w:t>、高技能人才。加强产业人才培训载体建设，着力建设一批培训示范基地。支持企业与院校采取合作培养、共建实训基地等形式，订单式培养产业发展紧缺急需的技能人才。畅通人才职业发展通道，优先支持重点产业人才申报相关专业技术职称，加大对人才在科技研发、成果转化转让、信息服务等活动中的收益保护，积极引导企业运用期权、股权等知识资本化激励方式稳定人才队伍，构建适应现代企业制度要求的人才成长机制。推进企业经营管理人才职业化、市场化、现代化和国际化，打造一支掌握现代经营理念、具有全球视野和国际竞争力的现代职业经理人队伍，培养造就一批领军型企业家。</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三、推动区域人才合作</w:t>
      </w:r>
    </w:p>
    <w:p>
      <w:pPr>
        <w:spacing w:line="580" w:lineRule="exact"/>
        <w:ind w:firstLine="640" w:firstLineChars="200"/>
      </w:pPr>
      <w:r>
        <w:rPr>
          <w:rFonts w:hint="eastAsia"/>
          <w:color w:val="000000" w:themeColor="text1"/>
          <w:sz w:val="32"/>
          <w:szCs w:val="32"/>
          <w14:textFill>
            <w14:solidFill>
              <w14:schemeClr w14:val="tx1"/>
            </w14:solidFill>
          </w14:textFill>
        </w:rPr>
        <w:t>加快融入一体化发展模式，探索建立长三角一体化人才评价标准互认机制，学习借鉴长三角其他城市的评价标准和先进经验，在人才评价标准、评价维度、评价方式等方面与长三角先进地区接轨，逐步实现人才标准一体化。优先推荐高层次创新创业人才参加国家、省市、重点区域重大工程，提供学术交流、项目合作、成果转化等经费支持。统筹建立全市人才信息平台，统一管理人才评价信息，推动跨市人才信息资源共享和人才保障政策互认，提高人才合作效率和精准度。</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522" w:type="dxa"/>
            <w:vAlign w:val="center"/>
          </w:tcPr>
          <w:p>
            <w:pPr>
              <w:spacing w:line="580" w:lineRule="exact"/>
              <w:jc w:val="center"/>
              <w:rPr>
                <w:rFonts w:eastAsia="方正黑体_GBK"/>
                <w:color w:val="000000" w:themeColor="text1"/>
                <w:kern w:val="0"/>
                <w:sz w:val="28"/>
                <w:szCs w:val="28"/>
                <w14:textFill>
                  <w14:solidFill>
                    <w14:schemeClr w14:val="tx1"/>
                  </w14:solidFill>
                </w14:textFill>
              </w:rPr>
            </w:pPr>
            <w:r>
              <w:rPr>
                <w:rFonts w:eastAsia="方正黑体_GBK"/>
                <w:color w:val="000000" w:themeColor="text1"/>
                <w:kern w:val="0"/>
                <w:sz w:val="28"/>
                <w:szCs w:val="28"/>
                <w14:textFill>
                  <w14:solidFill>
                    <w14:schemeClr w14:val="tx1"/>
                  </w14:solidFill>
                </w14:textFill>
              </w:rPr>
              <w:t>专栏</w:t>
            </w:r>
            <w:r>
              <w:rPr>
                <w:rFonts w:hint="eastAsia" w:eastAsia="方正黑体_GBK"/>
                <w:color w:val="000000" w:themeColor="text1"/>
                <w:kern w:val="0"/>
                <w:sz w:val="28"/>
                <w:szCs w:val="28"/>
                <w14:textFill>
                  <w14:solidFill>
                    <w14:schemeClr w14:val="tx1"/>
                  </w14:solidFill>
                </w14:textFill>
              </w:rPr>
              <w:t xml:space="preserve">7-1  </w:t>
            </w:r>
            <w:r>
              <w:rPr>
                <w:rFonts w:hint="eastAsia" w:eastAsia="方正黑体_GBK" w:cs="方正楷体_GBK"/>
                <w:color w:val="000000" w:themeColor="text1"/>
                <w:sz w:val="28"/>
                <w:szCs w:val="28"/>
                <w14:textFill>
                  <w14:solidFill>
                    <w14:schemeClr w14:val="tx1"/>
                  </w14:solidFill>
                </w14:textFill>
              </w:rPr>
              <w:t>实施</w:t>
            </w:r>
            <w:r>
              <w:rPr>
                <w:rFonts w:hint="eastAsia" w:eastAsia="方正黑体_GBK"/>
                <w:color w:val="000000" w:themeColor="text1"/>
                <w:sz w:val="28"/>
                <w:szCs w:val="28"/>
                <w14:textFill>
                  <w14:solidFill>
                    <w14:schemeClr w14:val="tx1"/>
                  </w14:solidFill>
                </w14:textFill>
              </w:rPr>
              <w:t>产业人才联企强链行动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00" w:lineRule="exact"/>
              <w:ind w:firstLine="562" w:firstLineChars="200"/>
              <w:rPr>
                <w:b/>
                <w:bCs/>
                <w:color w:val="000000" w:themeColor="text1"/>
                <w:sz w:val="28"/>
                <w:szCs w:val="32"/>
                <w14:textFill>
                  <w14:solidFill>
                    <w14:schemeClr w14:val="tx1"/>
                  </w14:solidFill>
                </w14:textFill>
              </w:rPr>
            </w:pPr>
            <w:r>
              <w:rPr>
                <w:rFonts w:hint="eastAsia"/>
                <w:b/>
                <w:bCs/>
                <w:color w:val="000000" w:themeColor="text1"/>
                <w:sz w:val="28"/>
                <w:szCs w:val="32"/>
                <w14:textFill>
                  <w14:solidFill>
                    <w14:schemeClr w14:val="tx1"/>
                  </w14:solidFill>
                </w14:textFill>
              </w:rPr>
              <w:t>千名领军人才集聚计划</w:t>
            </w:r>
            <w:r>
              <w:rPr>
                <w:rFonts w:hint="eastAsia"/>
                <w:bCs/>
                <w:color w:val="000000" w:themeColor="text1"/>
                <w:sz w:val="28"/>
                <w:szCs w:val="32"/>
                <w14:textFill>
                  <w14:solidFill>
                    <w14:schemeClr w14:val="tx1"/>
                  </w14:solidFill>
                </w14:textFill>
              </w:rPr>
              <w:t>：对能够引领产业升级、优化企业管理、突破核心技术的行业领军人才及团队给予项目资助及金融、平台、机构等集成支持。</w:t>
            </w:r>
          </w:p>
          <w:p>
            <w:pPr>
              <w:spacing w:line="400" w:lineRule="exact"/>
              <w:ind w:firstLine="562" w:firstLineChars="200"/>
              <w:rPr>
                <w:bCs/>
                <w:color w:val="000000" w:themeColor="text1"/>
                <w:sz w:val="28"/>
                <w:szCs w:val="32"/>
                <w14:textFill>
                  <w14:solidFill>
                    <w14:schemeClr w14:val="tx1"/>
                  </w14:solidFill>
                </w14:textFill>
              </w:rPr>
            </w:pPr>
            <w:r>
              <w:rPr>
                <w:rFonts w:hint="eastAsia"/>
                <w:b/>
                <w:bCs/>
                <w:color w:val="000000" w:themeColor="text1"/>
                <w:sz w:val="28"/>
                <w:szCs w:val="32"/>
                <w14:textFill>
                  <w14:solidFill>
                    <w14:schemeClr w14:val="tx1"/>
                  </w14:solidFill>
                </w14:textFill>
              </w:rPr>
              <w:t>凤还巢计划</w:t>
            </w:r>
            <w:r>
              <w:rPr>
                <w:rFonts w:hint="eastAsia"/>
                <w:bCs/>
                <w:color w:val="000000" w:themeColor="text1"/>
                <w:sz w:val="28"/>
                <w:szCs w:val="32"/>
                <w14:textFill>
                  <w14:solidFill>
                    <w14:schemeClr w14:val="tx1"/>
                  </w14:solidFill>
                </w14:textFill>
              </w:rPr>
              <w:t>：引导宿迁籍在外人才回乡创新创业，助力家乡发展。</w:t>
            </w:r>
          </w:p>
          <w:p>
            <w:pPr>
              <w:spacing w:line="400" w:lineRule="exact"/>
              <w:ind w:firstLine="562" w:firstLineChars="200"/>
              <w:rPr>
                <w:bCs/>
                <w:color w:val="000000" w:themeColor="text1"/>
                <w:sz w:val="28"/>
                <w:szCs w:val="32"/>
                <w14:textFill>
                  <w14:solidFill>
                    <w14:schemeClr w14:val="tx1"/>
                  </w14:solidFill>
                </w14:textFill>
              </w:rPr>
            </w:pPr>
            <w:r>
              <w:rPr>
                <w:rFonts w:hint="eastAsia"/>
                <w:b/>
                <w:bCs/>
                <w:color w:val="000000" w:themeColor="text1"/>
                <w:sz w:val="28"/>
                <w:szCs w:val="32"/>
                <w14:textFill>
                  <w14:solidFill>
                    <w14:schemeClr w14:val="tx1"/>
                  </w14:solidFill>
                </w14:textFill>
              </w:rPr>
              <w:t>名校优生计划</w:t>
            </w:r>
            <w:r>
              <w:rPr>
                <w:rFonts w:hint="eastAsia"/>
                <w:bCs/>
                <w:color w:val="000000" w:themeColor="text1"/>
                <w:sz w:val="28"/>
                <w:szCs w:val="32"/>
                <w14:textFill>
                  <w14:solidFill>
                    <w14:schemeClr w14:val="tx1"/>
                  </w14:solidFill>
                </w14:textFill>
              </w:rPr>
              <w:t>：到我市就业并首次在我市参加社会保险或自主创业的全日制普通高校毕业生（含境外高校），分普通高校本科、“双一流”建设高校本科、硕士研究生、博士研究生分级给予一次性生活补贴。对“双一流”建设高校毕业生和研究生，在我市办理住房公积金贷款给予优惠。</w:t>
            </w:r>
          </w:p>
          <w:p>
            <w:pPr>
              <w:spacing w:line="400" w:lineRule="exact"/>
              <w:ind w:firstLine="562" w:firstLineChars="200"/>
              <w:rPr>
                <w:bCs/>
                <w:color w:val="000000" w:themeColor="text1"/>
                <w:sz w:val="28"/>
                <w:szCs w:val="32"/>
                <w14:textFill>
                  <w14:solidFill>
                    <w14:schemeClr w14:val="tx1"/>
                  </w14:solidFill>
                </w14:textFill>
              </w:rPr>
            </w:pPr>
            <w:r>
              <w:rPr>
                <w:rFonts w:hint="eastAsia"/>
                <w:b/>
                <w:bCs/>
                <w:color w:val="000000" w:themeColor="text1"/>
                <w:sz w:val="28"/>
                <w:szCs w:val="32"/>
                <w14:textFill>
                  <w14:solidFill>
                    <w14:schemeClr w14:val="tx1"/>
                  </w14:solidFill>
                </w14:textFill>
              </w:rPr>
              <w:t>人才生活补贴政策</w:t>
            </w:r>
            <w:r>
              <w:rPr>
                <w:rFonts w:hint="eastAsia"/>
                <w:bCs/>
                <w:color w:val="000000" w:themeColor="text1"/>
                <w:sz w:val="28"/>
                <w:szCs w:val="32"/>
                <w14:textFill>
                  <w14:solidFill>
                    <w14:schemeClr w14:val="tx1"/>
                  </w14:solidFill>
                </w14:textFill>
              </w:rPr>
              <w:t>：对国家重大人才工程入选者及其相同层次人才、省级重点人才工程入选者及其相同层次人才、正高职称人才、副高职称人才（高级技师）、技师分别给予不同金额的生活补贴。</w:t>
            </w:r>
          </w:p>
          <w:p>
            <w:pPr>
              <w:spacing w:line="400" w:lineRule="exact"/>
              <w:ind w:firstLine="562" w:firstLineChars="200"/>
              <w:rPr>
                <w:bCs/>
                <w:color w:val="000000" w:themeColor="text1"/>
                <w:sz w:val="28"/>
                <w:szCs w:val="32"/>
                <w14:textFill>
                  <w14:solidFill>
                    <w14:schemeClr w14:val="tx1"/>
                  </w14:solidFill>
                </w14:textFill>
              </w:rPr>
            </w:pPr>
            <w:r>
              <w:rPr>
                <w:rFonts w:hint="eastAsia"/>
                <w:b/>
                <w:bCs/>
                <w:color w:val="000000" w:themeColor="text1"/>
                <w:sz w:val="28"/>
                <w:szCs w:val="32"/>
                <w14:textFill>
                  <w14:solidFill>
                    <w14:schemeClr w14:val="tx1"/>
                  </w14:solidFill>
                </w14:textFill>
              </w:rPr>
              <w:t>英才名匠计划</w:t>
            </w:r>
            <w:r>
              <w:rPr>
                <w:rFonts w:hint="eastAsia"/>
                <w:bCs/>
                <w:color w:val="000000" w:themeColor="text1"/>
                <w:sz w:val="28"/>
                <w:szCs w:val="32"/>
                <w14:textFill>
                  <w14:solidFill>
                    <w14:schemeClr w14:val="tx1"/>
                  </w14:solidFill>
                </w14:textFill>
              </w:rPr>
              <w:t>：围绕重点产业链开展“工信讲坛”“苏南名企行”等活动，对企业经营管理人才、技术研发人才进行企业管理、技术创新、智能制造、数字化转型等方面的专题业务培训。</w:t>
            </w:r>
          </w:p>
          <w:p>
            <w:pPr>
              <w:spacing w:line="400" w:lineRule="exact"/>
              <w:ind w:firstLine="562" w:firstLineChars="200"/>
              <w:rPr>
                <w:color w:val="000000" w:themeColor="text1"/>
                <w:sz w:val="28"/>
                <w:szCs w:val="32"/>
                <w14:textFill>
                  <w14:solidFill>
                    <w14:schemeClr w14:val="tx1"/>
                  </w14:solidFill>
                </w14:textFill>
              </w:rPr>
            </w:pPr>
            <w:r>
              <w:rPr>
                <w:rFonts w:hint="eastAsia"/>
                <w:b/>
                <w:color w:val="000000" w:themeColor="text1"/>
                <w:sz w:val="28"/>
                <w:szCs w:val="32"/>
                <w14:textFill>
                  <w14:solidFill>
                    <w14:schemeClr w14:val="tx1"/>
                  </w14:solidFill>
                </w14:textFill>
              </w:rPr>
              <w:t>工匠培育工程</w:t>
            </w:r>
            <w:r>
              <w:rPr>
                <w:rFonts w:hint="eastAsia"/>
                <w:color w:val="000000" w:themeColor="text1"/>
                <w:sz w:val="28"/>
                <w:szCs w:val="32"/>
                <w14:textFill>
                  <w14:solidFill>
                    <w14:schemeClr w14:val="tx1"/>
                  </w14:solidFill>
                </w14:textFill>
              </w:rPr>
              <w:t>：对入选享受国务院政府特殊津贴人员、省市有突出贡献的中青年专家，以及入选中华技能大奖、全国技术能手、江苏大工匠、江苏工匠、宿迁大工匠、宿迁工匠的高技能人才给予不同等级的奖励。</w:t>
            </w:r>
          </w:p>
        </w:tc>
      </w:tr>
    </w:tbl>
    <w:p>
      <w:pPr>
        <w:pStyle w:val="34"/>
        <w:spacing w:line="580" w:lineRule="exact"/>
        <w:ind w:firstLine="0" w:firstLineChars="0"/>
        <w:rPr>
          <w:color w:val="000000" w:themeColor="text1"/>
          <w14:textFill>
            <w14:solidFill>
              <w14:schemeClr w14:val="tx1"/>
            </w14:solidFill>
          </w14:textFill>
        </w:rPr>
      </w:pPr>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74" w:name="_Toc75019437"/>
    </w:p>
    <w:p>
      <w:pPr>
        <w:pStyle w:val="7"/>
        <w:spacing w:before="0" w:after="0" w:line="580" w:lineRule="exact"/>
        <w:jc w:val="center"/>
        <w:rPr>
          <w:rFonts w:ascii="Times New Roman" w:hAnsi="Times New Roman" w:eastAsia="方正楷体_GBK"/>
          <w:b w:val="0"/>
          <w:color w:val="000000" w:themeColor="text1"/>
          <w14:textFill>
            <w14:solidFill>
              <w14:schemeClr w14:val="tx1"/>
            </w14:solidFill>
          </w14:textFill>
        </w:rPr>
      </w:pPr>
      <w:bookmarkStart w:id="75" w:name="_Toc26858"/>
      <w:r>
        <w:rPr>
          <w:rFonts w:hint="eastAsia" w:ascii="Times New Roman" w:hAnsi="Times New Roman" w:eastAsia="方正楷体_GBK"/>
          <w:b w:val="0"/>
          <w:color w:val="000000" w:themeColor="text1"/>
          <w14:textFill>
            <w14:solidFill>
              <w14:schemeClr w14:val="tx1"/>
            </w14:solidFill>
          </w14:textFill>
        </w:rPr>
        <w:t>第四节  强化服务保障</w:t>
      </w:r>
      <w:bookmarkEnd w:id="74"/>
      <w:bookmarkEnd w:id="75"/>
    </w:p>
    <w:p>
      <w:pPr>
        <w:spacing w:line="580" w:lineRule="exact"/>
        <w:rPr>
          <w:rFonts w:eastAsia="方正楷体_GBK"/>
          <w:b/>
          <w:color w:val="000000" w:themeColor="text1"/>
          <w:sz w:val="32"/>
          <w:szCs w:val="32"/>
          <w14:textFill>
            <w14:solidFill>
              <w14:schemeClr w14:val="tx1"/>
            </w14:solidFill>
          </w14:textFill>
        </w:rPr>
      </w:pP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一、进一步减轻企业负担</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贯彻落实国家、省、市关于企业降本减负的相关政策，继续实行普惠性减税和结构性减税相结合，重点减轻制造业和小微企业税收负担，深入清理规范地方收费项目，全面取缔各种不合理收费，建立规范中介服务收费和经营服务性收费的长效机制，切实增强企业获得感，让企业轻装上阵。</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二、营造良好的营商环境</w:t>
      </w:r>
    </w:p>
    <w:p>
      <w:pPr>
        <w:spacing w:line="580" w:lineRule="exact"/>
        <w:ind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以“放管服”改革为引领，持续深化行政审批制度改革，加快推进电子证照互认共享应用、超级管理员制度、工业企业全生命周期审批事项赋权等重点改革项目，全面打响“宿迁速办”“宿迁帮办”“宿迁免费办”政务服务品牌。以保护市场主体合法权益为目标，健全完善守信联合激励和失信联合惩戒机制，突出抓好产权和知识产权保护，依法严惩破坏市场秩序和营商环境的违法违规行为，让广大企业安心经营、放心发展。全面推行公平竞争审查制度，深入清理违反公平、开放、透明市场规则的政策文件，保障企业在合法合规的前提下理性决策、自主发展。加快中小微企业帮办服务机构建设，组建专业团队，为中小微企业提供企业设立、土地获取、四评评价、施工许可证等方面的专业化帮办服务。</w:t>
      </w:r>
    </w:p>
    <w:p>
      <w:pPr>
        <w:pStyle w:val="8"/>
        <w:spacing w:before="0" w:after="0" w:line="580" w:lineRule="exact"/>
        <w:ind w:firstLine="640" w:firstLineChars="200"/>
        <w:rPr>
          <w:rFonts w:eastAsia="方正黑体_GBK"/>
          <w:b w:val="0"/>
          <w:color w:val="000000" w:themeColor="text1"/>
          <w14:textFill>
            <w14:solidFill>
              <w14:schemeClr w14:val="tx1"/>
            </w14:solidFill>
          </w14:textFill>
        </w:rPr>
      </w:pPr>
      <w:r>
        <w:rPr>
          <w:rFonts w:hint="eastAsia" w:eastAsia="方正黑体_GBK"/>
          <w:b w:val="0"/>
          <w:color w:val="000000" w:themeColor="text1"/>
          <w14:textFill>
            <w14:solidFill>
              <w14:schemeClr w14:val="tx1"/>
            </w14:solidFill>
          </w14:textFill>
        </w:rPr>
        <w:t>三、健全常态化服务机制</w:t>
      </w:r>
    </w:p>
    <w:p>
      <w:pPr>
        <w:spacing w:line="580" w:lineRule="exact"/>
        <w:ind w:firstLine="640" w:firstLineChars="200"/>
      </w:pPr>
      <w:r>
        <w:rPr>
          <w:rFonts w:hint="eastAsia"/>
          <w:color w:val="000000" w:themeColor="text1"/>
          <w:sz w:val="32"/>
          <w:szCs w:val="32"/>
          <w14:textFill>
            <w14:solidFill>
              <w14:schemeClr w14:val="tx1"/>
            </w14:solidFill>
          </w14:textFill>
        </w:rPr>
        <w:t>按照“有求必应、无事不扰”原则，落实政企沟通新机制，完善重点企业挂钩联系制度，通过线上线下多种形式，畅通企业诉求直通渠道，采取部门即办、分发交办、领导批办、专题会办等形式，分类推进解决。优化企业家沙龙联系制度，在进一步加强同行业、产业链上下游、关联配套企业间的沟通交流基础上，积极推动跨地区、跨行业、跨领域的企业家常态化交流。</w:t>
      </w:r>
    </w:p>
    <w:tbl>
      <w:tblPr>
        <w:tblStyle w:val="25"/>
        <w:tblW w:w="8384"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384" w:type="dxa"/>
          </w:tcPr>
          <w:p>
            <w:pPr>
              <w:spacing w:line="580" w:lineRule="exact"/>
              <w:jc w:val="center"/>
              <w:rPr>
                <w:rFonts w:eastAsia="方正黑体_GBK"/>
                <w:color w:val="000000" w:themeColor="text1"/>
                <w:kern w:val="0"/>
                <w:sz w:val="28"/>
                <w:szCs w:val="28"/>
                <w14:textFill>
                  <w14:solidFill>
                    <w14:schemeClr w14:val="tx1"/>
                  </w14:solidFill>
                </w14:textFill>
              </w:rPr>
            </w:pPr>
            <w:r>
              <w:rPr>
                <w:rFonts w:eastAsia="方正黑体_GBK"/>
                <w:color w:val="000000" w:themeColor="text1"/>
                <w:kern w:val="0"/>
                <w:sz w:val="28"/>
                <w:szCs w:val="28"/>
                <w14:textFill>
                  <w14:solidFill>
                    <w14:schemeClr w14:val="tx1"/>
                  </w14:solidFill>
                </w14:textFill>
              </w:rPr>
              <w:t>专栏</w:t>
            </w:r>
            <w:r>
              <w:rPr>
                <w:rFonts w:hint="eastAsia" w:eastAsia="方正黑体_GBK"/>
                <w:color w:val="000000" w:themeColor="text1"/>
                <w:kern w:val="0"/>
                <w:sz w:val="28"/>
                <w:szCs w:val="28"/>
                <w14:textFill>
                  <w14:solidFill>
                    <w14:schemeClr w14:val="tx1"/>
                  </w14:solidFill>
                </w14:textFill>
              </w:rPr>
              <w:t xml:space="preserve">7-2  </w:t>
            </w:r>
            <w:r>
              <w:rPr>
                <w:rFonts w:hint="eastAsia" w:eastAsia="方正黑体_GBK" w:cs="方正楷体_GBK"/>
                <w:color w:val="000000" w:themeColor="text1"/>
                <w:sz w:val="28"/>
                <w:szCs w:val="28"/>
                <w14:textFill>
                  <w14:solidFill>
                    <w14:schemeClr w14:val="tx1"/>
                  </w14:solidFill>
                </w14:textFill>
              </w:rPr>
              <w:t>建立政企沟通新机制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4" w:hRule="atLeast"/>
        </w:trPr>
        <w:tc>
          <w:tcPr>
            <w:tcW w:w="8384" w:type="dxa"/>
          </w:tcPr>
          <w:p>
            <w:pPr>
              <w:spacing w:line="400" w:lineRule="exact"/>
              <w:ind w:firstLine="562" w:firstLineChars="200"/>
              <w:rPr>
                <w:bCs/>
                <w:color w:val="000000" w:themeColor="text1"/>
                <w:sz w:val="28"/>
                <w:szCs w:val="32"/>
                <w14:textFill>
                  <w14:solidFill>
                    <w14:schemeClr w14:val="tx1"/>
                  </w14:solidFill>
                </w14:textFill>
              </w:rPr>
            </w:pPr>
            <w:r>
              <w:rPr>
                <w:rFonts w:hint="eastAsia"/>
                <w:b/>
                <w:bCs/>
                <w:color w:val="000000" w:themeColor="text1"/>
                <w:sz w:val="28"/>
                <w:szCs w:val="32"/>
                <w14:textFill>
                  <w14:solidFill>
                    <w14:schemeClr w14:val="tx1"/>
                  </w14:solidFill>
                </w14:textFill>
              </w:rPr>
              <w:t>完善领导挂钩联系机制</w:t>
            </w:r>
            <w:r>
              <w:rPr>
                <w:rFonts w:hint="eastAsia"/>
                <w:bCs/>
                <w:color w:val="000000" w:themeColor="text1"/>
                <w:sz w:val="28"/>
                <w:szCs w:val="32"/>
                <w14:textFill>
                  <w14:solidFill>
                    <w14:schemeClr w14:val="tx1"/>
                  </w14:solidFill>
                </w14:textFill>
              </w:rPr>
              <w:t>。完善各级领导干部常态化挂钩联系服务企业制度，形成问题诉求反映“快速通道”。开展市领导和市级部门单位常态化联系服务重点企业工作，及时了解企业发展、项目建设和诉求情况，切实帮助企业排忧解难。</w:t>
            </w:r>
          </w:p>
          <w:p>
            <w:pPr>
              <w:spacing w:line="400" w:lineRule="exact"/>
              <w:ind w:firstLine="562" w:firstLineChars="200"/>
              <w:rPr>
                <w:bCs/>
                <w:color w:val="000000" w:themeColor="text1"/>
                <w:sz w:val="28"/>
                <w:szCs w:val="32"/>
                <w14:textFill>
                  <w14:solidFill>
                    <w14:schemeClr w14:val="tx1"/>
                  </w14:solidFill>
                </w14:textFill>
              </w:rPr>
            </w:pPr>
            <w:r>
              <w:rPr>
                <w:rFonts w:hint="eastAsia"/>
                <w:b/>
                <w:bCs/>
                <w:color w:val="000000" w:themeColor="text1"/>
                <w:sz w:val="28"/>
                <w:szCs w:val="32"/>
                <w14:textFill>
                  <w14:solidFill>
                    <w14:schemeClr w14:val="tx1"/>
                  </w14:solidFill>
                </w14:textFill>
              </w:rPr>
              <w:t>建立企业诉求快速响应机制</w:t>
            </w:r>
            <w:r>
              <w:rPr>
                <w:rFonts w:hint="eastAsia"/>
                <w:bCs/>
                <w:color w:val="000000" w:themeColor="text1"/>
                <w:sz w:val="28"/>
                <w:szCs w:val="32"/>
                <w14:textFill>
                  <w14:solidFill>
                    <w14:schemeClr w14:val="tx1"/>
                  </w14:solidFill>
                </w14:textFill>
              </w:rPr>
              <w:t>。加快建设企业服务云平台，实现政策发布、诉求受理、供需对接、服务机构一站式集成，面向全市工业企业提供精准化、兜底式、全覆盖的全生命周期服务。</w:t>
            </w:r>
          </w:p>
          <w:p>
            <w:pPr>
              <w:spacing w:line="400" w:lineRule="exact"/>
              <w:ind w:firstLine="562" w:firstLineChars="200"/>
              <w:rPr>
                <w:bCs/>
                <w:color w:val="000000" w:themeColor="text1"/>
                <w:sz w:val="28"/>
                <w:szCs w:val="32"/>
                <w14:textFill>
                  <w14:solidFill>
                    <w14:schemeClr w14:val="tx1"/>
                  </w14:solidFill>
                </w14:textFill>
              </w:rPr>
            </w:pPr>
            <w:r>
              <w:rPr>
                <w:rFonts w:hint="eastAsia"/>
                <w:b/>
                <w:bCs/>
                <w:color w:val="000000" w:themeColor="text1"/>
                <w:sz w:val="28"/>
                <w:szCs w:val="32"/>
                <w14:textFill>
                  <w14:solidFill>
                    <w14:schemeClr w14:val="tx1"/>
                  </w14:solidFill>
                </w14:textFill>
              </w:rPr>
              <w:t>建立涉企政策制定会商机制</w:t>
            </w:r>
            <w:r>
              <w:rPr>
                <w:rFonts w:hint="eastAsia"/>
                <w:bCs/>
                <w:color w:val="000000" w:themeColor="text1"/>
                <w:sz w:val="28"/>
                <w:szCs w:val="32"/>
                <w14:textFill>
                  <w14:solidFill>
                    <w14:schemeClr w14:val="tx1"/>
                  </w14:solidFill>
                </w14:textFill>
              </w:rPr>
              <w:t>。市、县（区）在制定各类涉企政策前，要通过实地调研、座谈恳谈、问卷调查等形式，充分征求企业家意见建议，切实提高政策的精准性、科学性和可行性。</w:t>
            </w:r>
          </w:p>
          <w:p>
            <w:pPr>
              <w:spacing w:line="400" w:lineRule="exact"/>
              <w:ind w:firstLine="562" w:firstLineChars="200"/>
              <w:rPr>
                <w:bCs/>
                <w:color w:val="000000" w:themeColor="text1"/>
                <w:sz w:val="28"/>
                <w:szCs w:val="32"/>
                <w14:textFill>
                  <w14:solidFill>
                    <w14:schemeClr w14:val="tx1"/>
                  </w14:solidFill>
                </w14:textFill>
              </w:rPr>
            </w:pPr>
            <w:r>
              <w:rPr>
                <w:rFonts w:hint="eastAsia"/>
                <w:b/>
                <w:bCs/>
                <w:color w:val="000000" w:themeColor="text1"/>
                <w:sz w:val="28"/>
                <w:szCs w:val="32"/>
                <w14:textFill>
                  <w14:solidFill>
                    <w14:schemeClr w14:val="tx1"/>
                  </w14:solidFill>
                </w14:textFill>
              </w:rPr>
              <w:t>建立企业家定期培训交流机制</w:t>
            </w:r>
            <w:r>
              <w:rPr>
                <w:rFonts w:hint="eastAsia"/>
                <w:bCs/>
                <w:color w:val="000000" w:themeColor="text1"/>
                <w:sz w:val="28"/>
                <w:szCs w:val="32"/>
                <w14:textFill>
                  <w14:solidFill>
                    <w14:schemeClr w14:val="tx1"/>
                  </w14:solidFill>
                </w14:textFill>
              </w:rPr>
              <w:t>。每年初制定企业家培训计划，围绕宏观政策、经济走势、前沿技术等主题举办“名家讲坛”4次以上，组织企业管理、技术创新、智能制造、数字化转型等专题培训活动10次以上，每季度举办1次企业家沙龙活动。</w:t>
            </w:r>
          </w:p>
          <w:p>
            <w:pPr>
              <w:spacing w:line="400" w:lineRule="exact"/>
              <w:ind w:firstLine="562" w:firstLineChars="200"/>
              <w:rPr>
                <w:color w:val="000000" w:themeColor="text1"/>
                <w:sz w:val="28"/>
                <w:szCs w:val="32"/>
                <w14:textFill>
                  <w14:solidFill>
                    <w14:schemeClr w14:val="tx1"/>
                  </w14:solidFill>
                </w14:textFill>
              </w:rPr>
            </w:pPr>
            <w:r>
              <w:rPr>
                <w:rFonts w:hint="eastAsia"/>
                <w:b/>
                <w:bCs/>
                <w:color w:val="000000" w:themeColor="text1"/>
                <w:sz w:val="28"/>
                <w:szCs w:val="32"/>
                <w14:textFill>
                  <w14:solidFill>
                    <w14:schemeClr w14:val="tx1"/>
                  </w14:solidFill>
                </w14:textFill>
              </w:rPr>
              <w:t>建立服务企业星级评价机制</w:t>
            </w:r>
            <w:r>
              <w:rPr>
                <w:rFonts w:hint="eastAsia"/>
                <w:bCs/>
                <w:color w:val="000000" w:themeColor="text1"/>
                <w:sz w:val="28"/>
                <w:szCs w:val="32"/>
                <w14:textFill>
                  <w14:solidFill>
                    <w14:schemeClr w14:val="tx1"/>
                  </w14:solidFill>
                </w14:textFill>
              </w:rPr>
              <w:t>。围绕挂钩联系、解难帮扶、职责履行、效能提升、企业满意等方面，每年评出优秀“宿迁帮办”单位、个人各20个。</w:t>
            </w:r>
          </w:p>
        </w:tc>
      </w:tr>
    </w:tbl>
    <w:p>
      <w:pPr>
        <w:pStyle w:val="34"/>
        <w:spacing w:line="580" w:lineRule="exact"/>
        <w:ind w:firstLine="0" w:firstLineChars="0"/>
        <w:rPr>
          <w:color w:val="000000" w:themeColor="text1"/>
          <w:sz w:val="32"/>
          <w:szCs w:val="32"/>
          <w14:textFill>
            <w14:solidFill>
              <w14:schemeClr w14:val="tx1"/>
            </w14:solidFill>
          </w14:textFill>
        </w:rPr>
      </w:pPr>
    </w:p>
    <w:sectPr>
      <w:pgSz w:w="11906" w:h="16838"/>
      <w:pgMar w:top="1554" w:right="1690" w:bottom="1610" w:left="169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楷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sz w:val="16"/>
      </w:rPr>
    </w:pPr>
    <w:r>
      <w:rPr>
        <w:rFonts w:hint="eastAsia"/>
        <w:sz w:val="24"/>
        <w:szCs w:val="28"/>
      </w:rPr>
      <w:t>—</w:t>
    </w:r>
    <w:r>
      <w:rPr>
        <w:sz w:val="24"/>
        <w:szCs w:val="28"/>
      </w:rPr>
      <w:fldChar w:fldCharType="begin"/>
    </w:r>
    <w:r>
      <w:rPr>
        <w:sz w:val="24"/>
        <w:szCs w:val="28"/>
      </w:rPr>
      <w:instrText xml:space="preserve">PAGE   \* MERGEFORMAT</w:instrText>
    </w:r>
    <w:r>
      <w:rPr>
        <w:sz w:val="24"/>
        <w:szCs w:val="28"/>
      </w:rPr>
      <w:fldChar w:fldCharType="separate"/>
    </w:r>
    <w:r>
      <w:rPr>
        <w:sz w:val="24"/>
        <w:szCs w:val="28"/>
        <w:lang w:val="zh-CN"/>
      </w:rPr>
      <w:t>I</w:t>
    </w:r>
    <w:r>
      <w:rPr>
        <w:sz w:val="24"/>
        <w:szCs w:val="28"/>
      </w:rPr>
      <w:fldChar w:fldCharType="end"/>
    </w:r>
    <w:r>
      <w:rPr>
        <w:rFonts w:hint="eastAsia"/>
        <w:sz w:val="24"/>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方正楷体_GBK" w:hAnsi="方正楷体_GBK" w:eastAsia="方正楷体_GBK" w:cs="方正楷体_GBK"/>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jc w:val="center"/>
                          </w:pPr>
                          <w:r>
                            <w:rPr>
                              <w:rFonts w:hint="eastAsia" w:ascii="方正楷体_GBK" w:hAnsi="方正楷体_GBK" w:eastAsia="方正楷体_GBK" w:cs="方正楷体_GBK"/>
                              <w:sz w:val="28"/>
                              <w:szCs w:val="28"/>
                            </w:rPr>
                            <w:t xml:space="preserve">— </w:t>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PAGE   \* MERGEFORMAT</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lang w:val="zh-CN"/>
                            </w:rPr>
                            <w:t>18</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7"/>
                      <w:jc w:val="center"/>
                    </w:pPr>
                    <w:r>
                      <w:rPr>
                        <w:rFonts w:hint="eastAsia" w:ascii="方正楷体_GBK" w:hAnsi="方正楷体_GBK" w:eastAsia="方正楷体_GBK" w:cs="方正楷体_GBK"/>
                        <w:sz w:val="28"/>
                        <w:szCs w:val="28"/>
                      </w:rPr>
                      <w:t xml:space="preserve">— </w:t>
                    </w:r>
                    <w:r>
                      <w:rPr>
                        <w:rFonts w:hint="eastAsia" w:ascii="方正楷体_GBK" w:hAnsi="方正楷体_GBK" w:eastAsia="方正楷体_GBK" w:cs="方正楷体_GBK"/>
                        <w:sz w:val="28"/>
                        <w:szCs w:val="28"/>
                      </w:rPr>
                      <w:fldChar w:fldCharType="begin"/>
                    </w:r>
                    <w:r>
                      <w:rPr>
                        <w:rFonts w:hint="eastAsia" w:ascii="方正楷体_GBK" w:hAnsi="方正楷体_GBK" w:eastAsia="方正楷体_GBK" w:cs="方正楷体_GBK"/>
                        <w:sz w:val="28"/>
                        <w:szCs w:val="28"/>
                      </w:rPr>
                      <w:instrText xml:space="preserve">PAGE   \* MERGEFORMAT</w:instrText>
                    </w:r>
                    <w:r>
                      <w:rPr>
                        <w:rFonts w:hint="eastAsia" w:ascii="方正楷体_GBK" w:hAnsi="方正楷体_GBK" w:eastAsia="方正楷体_GBK" w:cs="方正楷体_GBK"/>
                        <w:sz w:val="28"/>
                        <w:szCs w:val="28"/>
                      </w:rPr>
                      <w:fldChar w:fldCharType="separate"/>
                    </w:r>
                    <w:r>
                      <w:rPr>
                        <w:rFonts w:ascii="方正楷体_GBK" w:hAnsi="方正楷体_GBK" w:eastAsia="方正楷体_GBK" w:cs="方正楷体_GBK"/>
                        <w:sz w:val="28"/>
                        <w:szCs w:val="28"/>
                        <w:lang w:val="zh-CN"/>
                      </w:rPr>
                      <w:t>18</w:t>
                    </w:r>
                    <w:r>
                      <w:rPr>
                        <w:rFonts w:hint="eastAsia" w:ascii="方正楷体_GBK" w:hAnsi="方正楷体_GBK" w:eastAsia="方正楷体_GBK" w:cs="方正楷体_GBK"/>
                        <w:sz w:val="28"/>
                        <w:szCs w:val="28"/>
                      </w:rPr>
                      <w:fldChar w:fldCharType="end"/>
                    </w:r>
                    <w:r>
                      <w:rPr>
                        <w:rFonts w:hint="eastAsia" w:ascii="方正楷体_GBK" w:hAnsi="方正楷体_GBK" w:eastAsia="方正楷体_GBK" w:cs="方正楷体_GBK"/>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B2B"/>
    <w:rsid w:val="000029E5"/>
    <w:rsid w:val="0000760C"/>
    <w:rsid w:val="00010A72"/>
    <w:rsid w:val="000124ED"/>
    <w:rsid w:val="00013E90"/>
    <w:rsid w:val="00014019"/>
    <w:rsid w:val="00015BA3"/>
    <w:rsid w:val="00015DA6"/>
    <w:rsid w:val="00015FE5"/>
    <w:rsid w:val="00017226"/>
    <w:rsid w:val="000204FF"/>
    <w:rsid w:val="00020ADE"/>
    <w:rsid w:val="000222D1"/>
    <w:rsid w:val="000227D1"/>
    <w:rsid w:val="00022999"/>
    <w:rsid w:val="000230E7"/>
    <w:rsid w:val="00023321"/>
    <w:rsid w:val="00023380"/>
    <w:rsid w:val="00024745"/>
    <w:rsid w:val="00025A7C"/>
    <w:rsid w:val="00025AA4"/>
    <w:rsid w:val="00026E60"/>
    <w:rsid w:val="00026EE4"/>
    <w:rsid w:val="00027602"/>
    <w:rsid w:val="00027EC2"/>
    <w:rsid w:val="000300E3"/>
    <w:rsid w:val="00032001"/>
    <w:rsid w:val="00032A6A"/>
    <w:rsid w:val="0003555F"/>
    <w:rsid w:val="00035694"/>
    <w:rsid w:val="000372D9"/>
    <w:rsid w:val="00037D77"/>
    <w:rsid w:val="000419C8"/>
    <w:rsid w:val="00041CCF"/>
    <w:rsid w:val="00042299"/>
    <w:rsid w:val="00050EFF"/>
    <w:rsid w:val="00052BBD"/>
    <w:rsid w:val="00054204"/>
    <w:rsid w:val="000548E6"/>
    <w:rsid w:val="00056BF5"/>
    <w:rsid w:val="00057194"/>
    <w:rsid w:val="00060512"/>
    <w:rsid w:val="0006182A"/>
    <w:rsid w:val="0006344C"/>
    <w:rsid w:val="00063CDB"/>
    <w:rsid w:val="000647EA"/>
    <w:rsid w:val="00064AEF"/>
    <w:rsid w:val="00070253"/>
    <w:rsid w:val="00073AD3"/>
    <w:rsid w:val="00073DC8"/>
    <w:rsid w:val="00074C58"/>
    <w:rsid w:val="00074E2F"/>
    <w:rsid w:val="00075620"/>
    <w:rsid w:val="0007592A"/>
    <w:rsid w:val="0007674C"/>
    <w:rsid w:val="00080386"/>
    <w:rsid w:val="000805E2"/>
    <w:rsid w:val="00081C1C"/>
    <w:rsid w:val="0008445A"/>
    <w:rsid w:val="00091BE7"/>
    <w:rsid w:val="000927F4"/>
    <w:rsid w:val="000949B7"/>
    <w:rsid w:val="00096C33"/>
    <w:rsid w:val="000971E4"/>
    <w:rsid w:val="0009780D"/>
    <w:rsid w:val="00097878"/>
    <w:rsid w:val="00097AF2"/>
    <w:rsid w:val="00097B83"/>
    <w:rsid w:val="000A1908"/>
    <w:rsid w:val="000A2BCC"/>
    <w:rsid w:val="000A387B"/>
    <w:rsid w:val="000A3C89"/>
    <w:rsid w:val="000A633E"/>
    <w:rsid w:val="000A789F"/>
    <w:rsid w:val="000B0378"/>
    <w:rsid w:val="000B0607"/>
    <w:rsid w:val="000B0783"/>
    <w:rsid w:val="000B3620"/>
    <w:rsid w:val="000B46FB"/>
    <w:rsid w:val="000B6465"/>
    <w:rsid w:val="000C040C"/>
    <w:rsid w:val="000C2AB3"/>
    <w:rsid w:val="000C4F00"/>
    <w:rsid w:val="000C50CC"/>
    <w:rsid w:val="000C6BA7"/>
    <w:rsid w:val="000D1703"/>
    <w:rsid w:val="000D2940"/>
    <w:rsid w:val="000D2D77"/>
    <w:rsid w:val="000D3F75"/>
    <w:rsid w:val="000D6254"/>
    <w:rsid w:val="000D645E"/>
    <w:rsid w:val="000E4190"/>
    <w:rsid w:val="000E4B9F"/>
    <w:rsid w:val="000E58C8"/>
    <w:rsid w:val="000E5B94"/>
    <w:rsid w:val="000E6310"/>
    <w:rsid w:val="000F0F41"/>
    <w:rsid w:val="000F1087"/>
    <w:rsid w:val="000F44AE"/>
    <w:rsid w:val="000F5F71"/>
    <w:rsid w:val="000F7635"/>
    <w:rsid w:val="00101022"/>
    <w:rsid w:val="00101121"/>
    <w:rsid w:val="00101A64"/>
    <w:rsid w:val="00102C2E"/>
    <w:rsid w:val="001033B6"/>
    <w:rsid w:val="001043FB"/>
    <w:rsid w:val="0010457D"/>
    <w:rsid w:val="001071F4"/>
    <w:rsid w:val="00110826"/>
    <w:rsid w:val="0011200F"/>
    <w:rsid w:val="00112C06"/>
    <w:rsid w:val="00112E6A"/>
    <w:rsid w:val="0011548D"/>
    <w:rsid w:val="00116166"/>
    <w:rsid w:val="0012123B"/>
    <w:rsid w:val="001227CD"/>
    <w:rsid w:val="00125DE7"/>
    <w:rsid w:val="001302A5"/>
    <w:rsid w:val="00130EB2"/>
    <w:rsid w:val="00131DB1"/>
    <w:rsid w:val="00133515"/>
    <w:rsid w:val="00134B10"/>
    <w:rsid w:val="00135B64"/>
    <w:rsid w:val="00141BF8"/>
    <w:rsid w:val="001422DC"/>
    <w:rsid w:val="00142C38"/>
    <w:rsid w:val="00146D3C"/>
    <w:rsid w:val="0015021F"/>
    <w:rsid w:val="00152D07"/>
    <w:rsid w:val="00155A20"/>
    <w:rsid w:val="00156455"/>
    <w:rsid w:val="00162961"/>
    <w:rsid w:val="00163FBA"/>
    <w:rsid w:val="001650E2"/>
    <w:rsid w:val="001652E9"/>
    <w:rsid w:val="0016707D"/>
    <w:rsid w:val="00167210"/>
    <w:rsid w:val="001679D3"/>
    <w:rsid w:val="00170163"/>
    <w:rsid w:val="0017094E"/>
    <w:rsid w:val="00171206"/>
    <w:rsid w:val="00171848"/>
    <w:rsid w:val="00172827"/>
    <w:rsid w:val="001766C1"/>
    <w:rsid w:val="00176E3F"/>
    <w:rsid w:val="00180134"/>
    <w:rsid w:val="0018785A"/>
    <w:rsid w:val="00187C59"/>
    <w:rsid w:val="001918CB"/>
    <w:rsid w:val="0019360B"/>
    <w:rsid w:val="0019495A"/>
    <w:rsid w:val="0019495D"/>
    <w:rsid w:val="001950A0"/>
    <w:rsid w:val="001A051A"/>
    <w:rsid w:val="001A2D03"/>
    <w:rsid w:val="001A3078"/>
    <w:rsid w:val="001A47D2"/>
    <w:rsid w:val="001A5AF9"/>
    <w:rsid w:val="001A7D38"/>
    <w:rsid w:val="001B0192"/>
    <w:rsid w:val="001B05A2"/>
    <w:rsid w:val="001B20C3"/>
    <w:rsid w:val="001B2831"/>
    <w:rsid w:val="001B2C27"/>
    <w:rsid w:val="001B49D6"/>
    <w:rsid w:val="001B530D"/>
    <w:rsid w:val="001C0E7A"/>
    <w:rsid w:val="001C2C7F"/>
    <w:rsid w:val="001C2D61"/>
    <w:rsid w:val="001C3876"/>
    <w:rsid w:val="001C474A"/>
    <w:rsid w:val="001C6DF8"/>
    <w:rsid w:val="001D3328"/>
    <w:rsid w:val="001D53D3"/>
    <w:rsid w:val="001D7973"/>
    <w:rsid w:val="001E0997"/>
    <w:rsid w:val="001E4AA4"/>
    <w:rsid w:val="001E4C3F"/>
    <w:rsid w:val="001E5730"/>
    <w:rsid w:val="001F1134"/>
    <w:rsid w:val="001F13C1"/>
    <w:rsid w:val="001F1EF3"/>
    <w:rsid w:val="001F2023"/>
    <w:rsid w:val="001F2534"/>
    <w:rsid w:val="001F46C9"/>
    <w:rsid w:val="001F5396"/>
    <w:rsid w:val="001F6F12"/>
    <w:rsid w:val="001F7F8F"/>
    <w:rsid w:val="002001D7"/>
    <w:rsid w:val="00200FB9"/>
    <w:rsid w:val="00201478"/>
    <w:rsid w:val="002032F0"/>
    <w:rsid w:val="002049F9"/>
    <w:rsid w:val="00205BEB"/>
    <w:rsid w:val="00207A18"/>
    <w:rsid w:val="00210F49"/>
    <w:rsid w:val="00211843"/>
    <w:rsid w:val="00211B3B"/>
    <w:rsid w:val="00212464"/>
    <w:rsid w:val="002138E8"/>
    <w:rsid w:val="002150CE"/>
    <w:rsid w:val="00215CA1"/>
    <w:rsid w:val="00216CD1"/>
    <w:rsid w:val="00217FB4"/>
    <w:rsid w:val="0022289A"/>
    <w:rsid w:val="00225B6C"/>
    <w:rsid w:val="00227B59"/>
    <w:rsid w:val="00230A0F"/>
    <w:rsid w:val="002312EA"/>
    <w:rsid w:val="00231C2B"/>
    <w:rsid w:val="00232FA0"/>
    <w:rsid w:val="00234A57"/>
    <w:rsid w:val="00234F8C"/>
    <w:rsid w:val="00236998"/>
    <w:rsid w:val="002374B4"/>
    <w:rsid w:val="00243432"/>
    <w:rsid w:val="00245732"/>
    <w:rsid w:val="00245D8D"/>
    <w:rsid w:val="002475A8"/>
    <w:rsid w:val="0025133F"/>
    <w:rsid w:val="002515DB"/>
    <w:rsid w:val="002522C5"/>
    <w:rsid w:val="00253294"/>
    <w:rsid w:val="00254005"/>
    <w:rsid w:val="00254B96"/>
    <w:rsid w:val="002627D1"/>
    <w:rsid w:val="00262977"/>
    <w:rsid w:val="00263154"/>
    <w:rsid w:val="00266090"/>
    <w:rsid w:val="002678CA"/>
    <w:rsid w:val="0026795D"/>
    <w:rsid w:val="00270DA4"/>
    <w:rsid w:val="002724A9"/>
    <w:rsid w:val="00274406"/>
    <w:rsid w:val="0027530F"/>
    <w:rsid w:val="002753E5"/>
    <w:rsid w:val="00277E27"/>
    <w:rsid w:val="00283EB0"/>
    <w:rsid w:val="002878C1"/>
    <w:rsid w:val="00287F40"/>
    <w:rsid w:val="002934AB"/>
    <w:rsid w:val="00294D9C"/>
    <w:rsid w:val="00295087"/>
    <w:rsid w:val="00297402"/>
    <w:rsid w:val="002A1123"/>
    <w:rsid w:val="002A68D3"/>
    <w:rsid w:val="002B0B93"/>
    <w:rsid w:val="002B4CB9"/>
    <w:rsid w:val="002B50C0"/>
    <w:rsid w:val="002B570C"/>
    <w:rsid w:val="002B6283"/>
    <w:rsid w:val="002B6663"/>
    <w:rsid w:val="002C2B0D"/>
    <w:rsid w:val="002C2E01"/>
    <w:rsid w:val="002C3D02"/>
    <w:rsid w:val="002C5318"/>
    <w:rsid w:val="002C5933"/>
    <w:rsid w:val="002C5BD1"/>
    <w:rsid w:val="002D620D"/>
    <w:rsid w:val="002E0E99"/>
    <w:rsid w:val="002E1B89"/>
    <w:rsid w:val="002E5CC2"/>
    <w:rsid w:val="002E6D30"/>
    <w:rsid w:val="002F308C"/>
    <w:rsid w:val="002F4286"/>
    <w:rsid w:val="002F5AA0"/>
    <w:rsid w:val="00301E75"/>
    <w:rsid w:val="0030318E"/>
    <w:rsid w:val="00305E32"/>
    <w:rsid w:val="00306F23"/>
    <w:rsid w:val="00306F29"/>
    <w:rsid w:val="00307EDD"/>
    <w:rsid w:val="003104EC"/>
    <w:rsid w:val="00311357"/>
    <w:rsid w:val="00313364"/>
    <w:rsid w:val="0031403B"/>
    <w:rsid w:val="00315E0F"/>
    <w:rsid w:val="00316CAC"/>
    <w:rsid w:val="00316F85"/>
    <w:rsid w:val="00317DA7"/>
    <w:rsid w:val="003228B1"/>
    <w:rsid w:val="00324F54"/>
    <w:rsid w:val="00325425"/>
    <w:rsid w:val="00325429"/>
    <w:rsid w:val="00326485"/>
    <w:rsid w:val="00326C94"/>
    <w:rsid w:val="00326CAB"/>
    <w:rsid w:val="00326D26"/>
    <w:rsid w:val="00326E5E"/>
    <w:rsid w:val="0033180F"/>
    <w:rsid w:val="00332684"/>
    <w:rsid w:val="00332BCB"/>
    <w:rsid w:val="00333AC7"/>
    <w:rsid w:val="00336C17"/>
    <w:rsid w:val="00337CC3"/>
    <w:rsid w:val="003410A4"/>
    <w:rsid w:val="00343B39"/>
    <w:rsid w:val="00346617"/>
    <w:rsid w:val="00351B8C"/>
    <w:rsid w:val="003523FF"/>
    <w:rsid w:val="00354612"/>
    <w:rsid w:val="003546B1"/>
    <w:rsid w:val="00354D71"/>
    <w:rsid w:val="0035514A"/>
    <w:rsid w:val="003577F1"/>
    <w:rsid w:val="00357E1A"/>
    <w:rsid w:val="003615D7"/>
    <w:rsid w:val="003618D9"/>
    <w:rsid w:val="003624B7"/>
    <w:rsid w:val="00363ECD"/>
    <w:rsid w:val="00373640"/>
    <w:rsid w:val="00380607"/>
    <w:rsid w:val="00381111"/>
    <w:rsid w:val="00381AB3"/>
    <w:rsid w:val="003820CF"/>
    <w:rsid w:val="003821E1"/>
    <w:rsid w:val="00382B03"/>
    <w:rsid w:val="00382DF3"/>
    <w:rsid w:val="00382F51"/>
    <w:rsid w:val="003863B9"/>
    <w:rsid w:val="0038693B"/>
    <w:rsid w:val="00387C40"/>
    <w:rsid w:val="00390FB1"/>
    <w:rsid w:val="0039154B"/>
    <w:rsid w:val="00392DA7"/>
    <w:rsid w:val="003959AA"/>
    <w:rsid w:val="00395F16"/>
    <w:rsid w:val="00397CB8"/>
    <w:rsid w:val="003A1498"/>
    <w:rsid w:val="003A20DF"/>
    <w:rsid w:val="003A2366"/>
    <w:rsid w:val="003A26D8"/>
    <w:rsid w:val="003A46AF"/>
    <w:rsid w:val="003A7267"/>
    <w:rsid w:val="003B0FE6"/>
    <w:rsid w:val="003B5D76"/>
    <w:rsid w:val="003B69CB"/>
    <w:rsid w:val="003B71B1"/>
    <w:rsid w:val="003C21B7"/>
    <w:rsid w:val="003C33D4"/>
    <w:rsid w:val="003C6973"/>
    <w:rsid w:val="003C6FCE"/>
    <w:rsid w:val="003D1A51"/>
    <w:rsid w:val="003D1E84"/>
    <w:rsid w:val="003D2644"/>
    <w:rsid w:val="003D4A8B"/>
    <w:rsid w:val="003D6229"/>
    <w:rsid w:val="003D6B7A"/>
    <w:rsid w:val="003D7DD8"/>
    <w:rsid w:val="003E2173"/>
    <w:rsid w:val="003E367C"/>
    <w:rsid w:val="003E4BA2"/>
    <w:rsid w:val="003E583E"/>
    <w:rsid w:val="003E60E9"/>
    <w:rsid w:val="003F0129"/>
    <w:rsid w:val="003F2E7D"/>
    <w:rsid w:val="003F64BC"/>
    <w:rsid w:val="00401D3F"/>
    <w:rsid w:val="004028A3"/>
    <w:rsid w:val="00403161"/>
    <w:rsid w:val="004032FE"/>
    <w:rsid w:val="00403E01"/>
    <w:rsid w:val="00403EE2"/>
    <w:rsid w:val="0040470F"/>
    <w:rsid w:val="00415E1E"/>
    <w:rsid w:val="00416CF4"/>
    <w:rsid w:val="00416DA4"/>
    <w:rsid w:val="004179E8"/>
    <w:rsid w:val="0042076F"/>
    <w:rsid w:val="00420B84"/>
    <w:rsid w:val="0042185D"/>
    <w:rsid w:val="004223A0"/>
    <w:rsid w:val="00422B4A"/>
    <w:rsid w:val="00424783"/>
    <w:rsid w:val="004251E9"/>
    <w:rsid w:val="00427467"/>
    <w:rsid w:val="00432FD3"/>
    <w:rsid w:val="004349B8"/>
    <w:rsid w:val="00445020"/>
    <w:rsid w:val="00446A9F"/>
    <w:rsid w:val="00446D8E"/>
    <w:rsid w:val="00452162"/>
    <w:rsid w:val="004524FA"/>
    <w:rsid w:val="004563D8"/>
    <w:rsid w:val="0045712A"/>
    <w:rsid w:val="0045743A"/>
    <w:rsid w:val="0046127B"/>
    <w:rsid w:val="004618CE"/>
    <w:rsid w:val="004629E5"/>
    <w:rsid w:val="00462EE0"/>
    <w:rsid w:val="00462F57"/>
    <w:rsid w:val="00466AEA"/>
    <w:rsid w:val="00467C8A"/>
    <w:rsid w:val="00470623"/>
    <w:rsid w:val="0047091C"/>
    <w:rsid w:val="0047192A"/>
    <w:rsid w:val="004741F6"/>
    <w:rsid w:val="004742B5"/>
    <w:rsid w:val="004749A6"/>
    <w:rsid w:val="00476EFC"/>
    <w:rsid w:val="00477825"/>
    <w:rsid w:val="004778B4"/>
    <w:rsid w:val="004810E1"/>
    <w:rsid w:val="00483469"/>
    <w:rsid w:val="00483F76"/>
    <w:rsid w:val="00483FE7"/>
    <w:rsid w:val="00484456"/>
    <w:rsid w:val="00484CA5"/>
    <w:rsid w:val="00485316"/>
    <w:rsid w:val="004873B7"/>
    <w:rsid w:val="00490275"/>
    <w:rsid w:val="00490F40"/>
    <w:rsid w:val="0049154E"/>
    <w:rsid w:val="004935F9"/>
    <w:rsid w:val="00493993"/>
    <w:rsid w:val="004958BA"/>
    <w:rsid w:val="004A0284"/>
    <w:rsid w:val="004A2ED6"/>
    <w:rsid w:val="004A4918"/>
    <w:rsid w:val="004A6EAA"/>
    <w:rsid w:val="004A6F86"/>
    <w:rsid w:val="004B1282"/>
    <w:rsid w:val="004B20BD"/>
    <w:rsid w:val="004B300B"/>
    <w:rsid w:val="004B4F0F"/>
    <w:rsid w:val="004B7256"/>
    <w:rsid w:val="004C0683"/>
    <w:rsid w:val="004C0DED"/>
    <w:rsid w:val="004C40CB"/>
    <w:rsid w:val="004C4141"/>
    <w:rsid w:val="004C45E8"/>
    <w:rsid w:val="004C5C11"/>
    <w:rsid w:val="004C5C69"/>
    <w:rsid w:val="004C7123"/>
    <w:rsid w:val="004D322D"/>
    <w:rsid w:val="004D4873"/>
    <w:rsid w:val="004D555E"/>
    <w:rsid w:val="004D7DAF"/>
    <w:rsid w:val="004E21B1"/>
    <w:rsid w:val="004E2DBE"/>
    <w:rsid w:val="004E7BF6"/>
    <w:rsid w:val="004F364E"/>
    <w:rsid w:val="004F3AAE"/>
    <w:rsid w:val="004F41B7"/>
    <w:rsid w:val="004F5A5B"/>
    <w:rsid w:val="0050164F"/>
    <w:rsid w:val="00501CB9"/>
    <w:rsid w:val="005062E8"/>
    <w:rsid w:val="005064B3"/>
    <w:rsid w:val="00507C7E"/>
    <w:rsid w:val="00514757"/>
    <w:rsid w:val="0052005F"/>
    <w:rsid w:val="005266B3"/>
    <w:rsid w:val="00532067"/>
    <w:rsid w:val="005359AF"/>
    <w:rsid w:val="005361CB"/>
    <w:rsid w:val="0053677E"/>
    <w:rsid w:val="00536ABD"/>
    <w:rsid w:val="00540E20"/>
    <w:rsid w:val="00541951"/>
    <w:rsid w:val="0054282E"/>
    <w:rsid w:val="00542D82"/>
    <w:rsid w:val="005457E1"/>
    <w:rsid w:val="00547850"/>
    <w:rsid w:val="005511CD"/>
    <w:rsid w:val="00552983"/>
    <w:rsid w:val="00554C80"/>
    <w:rsid w:val="005558E4"/>
    <w:rsid w:val="00555A6A"/>
    <w:rsid w:val="00555CC8"/>
    <w:rsid w:val="005561A2"/>
    <w:rsid w:val="00560233"/>
    <w:rsid w:val="005614B1"/>
    <w:rsid w:val="0056241D"/>
    <w:rsid w:val="00565466"/>
    <w:rsid w:val="00565622"/>
    <w:rsid w:val="00566213"/>
    <w:rsid w:val="00570E71"/>
    <w:rsid w:val="005747D0"/>
    <w:rsid w:val="005764BA"/>
    <w:rsid w:val="00576903"/>
    <w:rsid w:val="00576AC1"/>
    <w:rsid w:val="0057747A"/>
    <w:rsid w:val="005778CF"/>
    <w:rsid w:val="00577AFD"/>
    <w:rsid w:val="00577B96"/>
    <w:rsid w:val="00582B8F"/>
    <w:rsid w:val="005831C9"/>
    <w:rsid w:val="005831E1"/>
    <w:rsid w:val="005834B6"/>
    <w:rsid w:val="005839E7"/>
    <w:rsid w:val="00583C45"/>
    <w:rsid w:val="00584A0A"/>
    <w:rsid w:val="0058617C"/>
    <w:rsid w:val="00586437"/>
    <w:rsid w:val="005867F3"/>
    <w:rsid w:val="00591FAD"/>
    <w:rsid w:val="00593234"/>
    <w:rsid w:val="00593749"/>
    <w:rsid w:val="00594744"/>
    <w:rsid w:val="005967E7"/>
    <w:rsid w:val="0059738D"/>
    <w:rsid w:val="0059746E"/>
    <w:rsid w:val="005A249B"/>
    <w:rsid w:val="005A2538"/>
    <w:rsid w:val="005A2AAD"/>
    <w:rsid w:val="005A2F72"/>
    <w:rsid w:val="005A3930"/>
    <w:rsid w:val="005A4AD9"/>
    <w:rsid w:val="005A4D38"/>
    <w:rsid w:val="005B4F40"/>
    <w:rsid w:val="005B6318"/>
    <w:rsid w:val="005B67E1"/>
    <w:rsid w:val="005B7006"/>
    <w:rsid w:val="005B7B94"/>
    <w:rsid w:val="005B7C81"/>
    <w:rsid w:val="005C0CF4"/>
    <w:rsid w:val="005C2F3A"/>
    <w:rsid w:val="005C52D6"/>
    <w:rsid w:val="005C5CC0"/>
    <w:rsid w:val="005C60BD"/>
    <w:rsid w:val="005C69BC"/>
    <w:rsid w:val="005C7C41"/>
    <w:rsid w:val="005D5964"/>
    <w:rsid w:val="005D5E20"/>
    <w:rsid w:val="005D6B11"/>
    <w:rsid w:val="005D6F43"/>
    <w:rsid w:val="005D71B0"/>
    <w:rsid w:val="005D73BD"/>
    <w:rsid w:val="005D78A5"/>
    <w:rsid w:val="005E06B7"/>
    <w:rsid w:val="005E26FF"/>
    <w:rsid w:val="005E2A29"/>
    <w:rsid w:val="005E34E6"/>
    <w:rsid w:val="005E390B"/>
    <w:rsid w:val="005E3FFF"/>
    <w:rsid w:val="005E4CDA"/>
    <w:rsid w:val="005E6C9D"/>
    <w:rsid w:val="005E7092"/>
    <w:rsid w:val="005F059D"/>
    <w:rsid w:val="005F0655"/>
    <w:rsid w:val="005F3510"/>
    <w:rsid w:val="005F3CD3"/>
    <w:rsid w:val="005F431B"/>
    <w:rsid w:val="005F46BC"/>
    <w:rsid w:val="005F5200"/>
    <w:rsid w:val="005F65CA"/>
    <w:rsid w:val="005F6C16"/>
    <w:rsid w:val="005F6C4A"/>
    <w:rsid w:val="005F757C"/>
    <w:rsid w:val="00602B3B"/>
    <w:rsid w:val="00604FF6"/>
    <w:rsid w:val="006075E0"/>
    <w:rsid w:val="006132F4"/>
    <w:rsid w:val="00613C9D"/>
    <w:rsid w:val="00613DFD"/>
    <w:rsid w:val="00613F6E"/>
    <w:rsid w:val="00617BFE"/>
    <w:rsid w:val="00620870"/>
    <w:rsid w:val="006212A9"/>
    <w:rsid w:val="0062352D"/>
    <w:rsid w:val="00625A7E"/>
    <w:rsid w:val="00631BB7"/>
    <w:rsid w:val="00631CAD"/>
    <w:rsid w:val="00632EE6"/>
    <w:rsid w:val="00633D94"/>
    <w:rsid w:val="00634D40"/>
    <w:rsid w:val="00640C1C"/>
    <w:rsid w:val="0064140E"/>
    <w:rsid w:val="006416B1"/>
    <w:rsid w:val="00641C17"/>
    <w:rsid w:val="00641E23"/>
    <w:rsid w:val="00643984"/>
    <w:rsid w:val="00646E34"/>
    <w:rsid w:val="00646F53"/>
    <w:rsid w:val="006470A1"/>
    <w:rsid w:val="00650981"/>
    <w:rsid w:val="0065191C"/>
    <w:rsid w:val="0065292D"/>
    <w:rsid w:val="006560A5"/>
    <w:rsid w:val="00657804"/>
    <w:rsid w:val="00657D3F"/>
    <w:rsid w:val="00660D97"/>
    <w:rsid w:val="006624FF"/>
    <w:rsid w:val="006639BD"/>
    <w:rsid w:val="00664F87"/>
    <w:rsid w:val="00670CDE"/>
    <w:rsid w:val="00674822"/>
    <w:rsid w:val="00674B6F"/>
    <w:rsid w:val="00677131"/>
    <w:rsid w:val="0068053E"/>
    <w:rsid w:val="0068799F"/>
    <w:rsid w:val="00690E9A"/>
    <w:rsid w:val="00691A27"/>
    <w:rsid w:val="0069293D"/>
    <w:rsid w:val="006935F7"/>
    <w:rsid w:val="00694320"/>
    <w:rsid w:val="006949BE"/>
    <w:rsid w:val="00696087"/>
    <w:rsid w:val="00697394"/>
    <w:rsid w:val="006A174C"/>
    <w:rsid w:val="006A213A"/>
    <w:rsid w:val="006A4E3D"/>
    <w:rsid w:val="006A5031"/>
    <w:rsid w:val="006A69E0"/>
    <w:rsid w:val="006B1D08"/>
    <w:rsid w:val="006B3A6D"/>
    <w:rsid w:val="006B4491"/>
    <w:rsid w:val="006B476E"/>
    <w:rsid w:val="006B718B"/>
    <w:rsid w:val="006C3C1E"/>
    <w:rsid w:val="006C3F21"/>
    <w:rsid w:val="006C677D"/>
    <w:rsid w:val="006D01B5"/>
    <w:rsid w:val="006D2220"/>
    <w:rsid w:val="006D41AE"/>
    <w:rsid w:val="006D4BC5"/>
    <w:rsid w:val="006D4FA3"/>
    <w:rsid w:val="006D7FF6"/>
    <w:rsid w:val="006E0C19"/>
    <w:rsid w:val="006E3171"/>
    <w:rsid w:val="006E3A92"/>
    <w:rsid w:val="006E4756"/>
    <w:rsid w:val="006E4F6E"/>
    <w:rsid w:val="006E510C"/>
    <w:rsid w:val="006E58D1"/>
    <w:rsid w:val="006E5BAB"/>
    <w:rsid w:val="006E67FC"/>
    <w:rsid w:val="006E6A80"/>
    <w:rsid w:val="006E7918"/>
    <w:rsid w:val="006F11A1"/>
    <w:rsid w:val="006F1F79"/>
    <w:rsid w:val="006F2E2C"/>
    <w:rsid w:val="006F3EEA"/>
    <w:rsid w:val="006F48D4"/>
    <w:rsid w:val="006F51E8"/>
    <w:rsid w:val="006F5AE8"/>
    <w:rsid w:val="006F6517"/>
    <w:rsid w:val="006F73E5"/>
    <w:rsid w:val="00701947"/>
    <w:rsid w:val="007027F7"/>
    <w:rsid w:val="00705F27"/>
    <w:rsid w:val="00707A34"/>
    <w:rsid w:val="0071123D"/>
    <w:rsid w:val="007132B5"/>
    <w:rsid w:val="007167C8"/>
    <w:rsid w:val="0071758D"/>
    <w:rsid w:val="00720456"/>
    <w:rsid w:val="00722651"/>
    <w:rsid w:val="00722CB9"/>
    <w:rsid w:val="0072493F"/>
    <w:rsid w:val="00724B0B"/>
    <w:rsid w:val="00726B8F"/>
    <w:rsid w:val="00727759"/>
    <w:rsid w:val="007279E0"/>
    <w:rsid w:val="00727F4C"/>
    <w:rsid w:val="00727F53"/>
    <w:rsid w:val="00732416"/>
    <w:rsid w:val="007334F5"/>
    <w:rsid w:val="007339AE"/>
    <w:rsid w:val="00735F70"/>
    <w:rsid w:val="007377E7"/>
    <w:rsid w:val="00743044"/>
    <w:rsid w:val="00744F1B"/>
    <w:rsid w:val="007465B7"/>
    <w:rsid w:val="00751E83"/>
    <w:rsid w:val="00752B47"/>
    <w:rsid w:val="007534B7"/>
    <w:rsid w:val="00754487"/>
    <w:rsid w:val="00754840"/>
    <w:rsid w:val="0075484B"/>
    <w:rsid w:val="00760148"/>
    <w:rsid w:val="007633D0"/>
    <w:rsid w:val="007633FB"/>
    <w:rsid w:val="007668A1"/>
    <w:rsid w:val="00766C9B"/>
    <w:rsid w:val="00770A5C"/>
    <w:rsid w:val="00772D5B"/>
    <w:rsid w:val="0077470C"/>
    <w:rsid w:val="00775C33"/>
    <w:rsid w:val="00776645"/>
    <w:rsid w:val="00781595"/>
    <w:rsid w:val="00784B2B"/>
    <w:rsid w:val="00784CF6"/>
    <w:rsid w:val="00790CD8"/>
    <w:rsid w:val="007912FD"/>
    <w:rsid w:val="00793ACF"/>
    <w:rsid w:val="00793F79"/>
    <w:rsid w:val="00796282"/>
    <w:rsid w:val="00797045"/>
    <w:rsid w:val="007973A0"/>
    <w:rsid w:val="007A04BE"/>
    <w:rsid w:val="007A30EA"/>
    <w:rsid w:val="007A6460"/>
    <w:rsid w:val="007A6625"/>
    <w:rsid w:val="007A7C6D"/>
    <w:rsid w:val="007B3080"/>
    <w:rsid w:val="007B3AA9"/>
    <w:rsid w:val="007B7DA7"/>
    <w:rsid w:val="007C0DCF"/>
    <w:rsid w:val="007C1CB7"/>
    <w:rsid w:val="007C2396"/>
    <w:rsid w:val="007C26E3"/>
    <w:rsid w:val="007C2E33"/>
    <w:rsid w:val="007C2EE2"/>
    <w:rsid w:val="007C7004"/>
    <w:rsid w:val="007C7012"/>
    <w:rsid w:val="007C7D89"/>
    <w:rsid w:val="007D0881"/>
    <w:rsid w:val="007D1257"/>
    <w:rsid w:val="007D140E"/>
    <w:rsid w:val="007D1B73"/>
    <w:rsid w:val="007D4653"/>
    <w:rsid w:val="007D4CE6"/>
    <w:rsid w:val="007D649A"/>
    <w:rsid w:val="007E129F"/>
    <w:rsid w:val="007E311D"/>
    <w:rsid w:val="007E44FB"/>
    <w:rsid w:val="007E6670"/>
    <w:rsid w:val="007E7816"/>
    <w:rsid w:val="007E7E7A"/>
    <w:rsid w:val="007F1BC8"/>
    <w:rsid w:val="007F2BBC"/>
    <w:rsid w:val="007F55B8"/>
    <w:rsid w:val="007F6110"/>
    <w:rsid w:val="007F6647"/>
    <w:rsid w:val="007F6BFE"/>
    <w:rsid w:val="007F6E8C"/>
    <w:rsid w:val="007F7C82"/>
    <w:rsid w:val="00800708"/>
    <w:rsid w:val="0080395F"/>
    <w:rsid w:val="00810A7B"/>
    <w:rsid w:val="00812A0D"/>
    <w:rsid w:val="00815426"/>
    <w:rsid w:val="00815591"/>
    <w:rsid w:val="008176E4"/>
    <w:rsid w:val="00820BE2"/>
    <w:rsid w:val="008232FC"/>
    <w:rsid w:val="008254C0"/>
    <w:rsid w:val="00826C34"/>
    <w:rsid w:val="008276DE"/>
    <w:rsid w:val="00827BAD"/>
    <w:rsid w:val="00832735"/>
    <w:rsid w:val="00833B7A"/>
    <w:rsid w:val="0083463E"/>
    <w:rsid w:val="00835036"/>
    <w:rsid w:val="00835234"/>
    <w:rsid w:val="008360CD"/>
    <w:rsid w:val="00837BD6"/>
    <w:rsid w:val="0084099F"/>
    <w:rsid w:val="00843DF3"/>
    <w:rsid w:val="008444BF"/>
    <w:rsid w:val="00845990"/>
    <w:rsid w:val="00846368"/>
    <w:rsid w:val="008473F5"/>
    <w:rsid w:val="008524A3"/>
    <w:rsid w:val="00852A9F"/>
    <w:rsid w:val="008534D2"/>
    <w:rsid w:val="0085541C"/>
    <w:rsid w:val="00855E64"/>
    <w:rsid w:val="00857F19"/>
    <w:rsid w:val="00857F42"/>
    <w:rsid w:val="00863987"/>
    <w:rsid w:val="00864C61"/>
    <w:rsid w:val="00865A1D"/>
    <w:rsid w:val="008663F6"/>
    <w:rsid w:val="00866ED8"/>
    <w:rsid w:val="00867864"/>
    <w:rsid w:val="00870256"/>
    <w:rsid w:val="00870AE4"/>
    <w:rsid w:val="00872049"/>
    <w:rsid w:val="00873694"/>
    <w:rsid w:val="00876E0D"/>
    <w:rsid w:val="00877011"/>
    <w:rsid w:val="00880C35"/>
    <w:rsid w:val="00880F77"/>
    <w:rsid w:val="00881A49"/>
    <w:rsid w:val="00882496"/>
    <w:rsid w:val="008835B8"/>
    <w:rsid w:val="008877FA"/>
    <w:rsid w:val="0089112A"/>
    <w:rsid w:val="008923F4"/>
    <w:rsid w:val="00892D8D"/>
    <w:rsid w:val="0089668D"/>
    <w:rsid w:val="00896B50"/>
    <w:rsid w:val="00897DD2"/>
    <w:rsid w:val="008A0358"/>
    <w:rsid w:val="008A04AD"/>
    <w:rsid w:val="008A09D9"/>
    <w:rsid w:val="008A1602"/>
    <w:rsid w:val="008A2F29"/>
    <w:rsid w:val="008A444D"/>
    <w:rsid w:val="008A4A9E"/>
    <w:rsid w:val="008A5E56"/>
    <w:rsid w:val="008A77CE"/>
    <w:rsid w:val="008A7EBB"/>
    <w:rsid w:val="008B03D4"/>
    <w:rsid w:val="008B1B72"/>
    <w:rsid w:val="008B2CF8"/>
    <w:rsid w:val="008B2DF7"/>
    <w:rsid w:val="008C0076"/>
    <w:rsid w:val="008C27DD"/>
    <w:rsid w:val="008C46A7"/>
    <w:rsid w:val="008C560D"/>
    <w:rsid w:val="008D1A41"/>
    <w:rsid w:val="008D29B7"/>
    <w:rsid w:val="008D449C"/>
    <w:rsid w:val="008D44CF"/>
    <w:rsid w:val="008D78D9"/>
    <w:rsid w:val="008E3258"/>
    <w:rsid w:val="008E381C"/>
    <w:rsid w:val="008E665E"/>
    <w:rsid w:val="008E7D2D"/>
    <w:rsid w:val="008F037D"/>
    <w:rsid w:val="008F1051"/>
    <w:rsid w:val="008F503F"/>
    <w:rsid w:val="008F5ACB"/>
    <w:rsid w:val="008F5CDB"/>
    <w:rsid w:val="009044AF"/>
    <w:rsid w:val="009102B6"/>
    <w:rsid w:val="0091060A"/>
    <w:rsid w:val="009116DA"/>
    <w:rsid w:val="009133A5"/>
    <w:rsid w:val="00915F2E"/>
    <w:rsid w:val="009212E2"/>
    <w:rsid w:val="00921800"/>
    <w:rsid w:val="00925A13"/>
    <w:rsid w:val="009260E7"/>
    <w:rsid w:val="00926790"/>
    <w:rsid w:val="00926860"/>
    <w:rsid w:val="00937468"/>
    <w:rsid w:val="00937EDA"/>
    <w:rsid w:val="00942193"/>
    <w:rsid w:val="009427DE"/>
    <w:rsid w:val="00942A2F"/>
    <w:rsid w:val="00945CFE"/>
    <w:rsid w:val="009472A4"/>
    <w:rsid w:val="00947ADD"/>
    <w:rsid w:val="00954B67"/>
    <w:rsid w:val="00956526"/>
    <w:rsid w:val="00957305"/>
    <w:rsid w:val="00957A7C"/>
    <w:rsid w:val="00957F8A"/>
    <w:rsid w:val="009613B3"/>
    <w:rsid w:val="00962660"/>
    <w:rsid w:val="00965401"/>
    <w:rsid w:val="00965B9B"/>
    <w:rsid w:val="00965F70"/>
    <w:rsid w:val="00967A6F"/>
    <w:rsid w:val="00971624"/>
    <w:rsid w:val="00972046"/>
    <w:rsid w:val="00972D50"/>
    <w:rsid w:val="009751A9"/>
    <w:rsid w:val="009806D1"/>
    <w:rsid w:val="0098177B"/>
    <w:rsid w:val="00985C5A"/>
    <w:rsid w:val="009900F0"/>
    <w:rsid w:val="00991746"/>
    <w:rsid w:val="0099441A"/>
    <w:rsid w:val="00996E16"/>
    <w:rsid w:val="00997D7A"/>
    <w:rsid w:val="009A027E"/>
    <w:rsid w:val="009A3035"/>
    <w:rsid w:val="009A30CB"/>
    <w:rsid w:val="009A3E5C"/>
    <w:rsid w:val="009A598D"/>
    <w:rsid w:val="009A5C11"/>
    <w:rsid w:val="009A63B4"/>
    <w:rsid w:val="009B0039"/>
    <w:rsid w:val="009B1756"/>
    <w:rsid w:val="009B2618"/>
    <w:rsid w:val="009B386C"/>
    <w:rsid w:val="009B4ADA"/>
    <w:rsid w:val="009B63F6"/>
    <w:rsid w:val="009C011C"/>
    <w:rsid w:val="009C069A"/>
    <w:rsid w:val="009C3187"/>
    <w:rsid w:val="009C387A"/>
    <w:rsid w:val="009C4E96"/>
    <w:rsid w:val="009C6573"/>
    <w:rsid w:val="009C6DB7"/>
    <w:rsid w:val="009C7287"/>
    <w:rsid w:val="009D0BDC"/>
    <w:rsid w:val="009D26D2"/>
    <w:rsid w:val="009D2A1F"/>
    <w:rsid w:val="009D3014"/>
    <w:rsid w:val="009D73D9"/>
    <w:rsid w:val="009E11B3"/>
    <w:rsid w:val="009E167A"/>
    <w:rsid w:val="009E1FE0"/>
    <w:rsid w:val="009E38B6"/>
    <w:rsid w:val="009E392E"/>
    <w:rsid w:val="009E60A2"/>
    <w:rsid w:val="009E6A34"/>
    <w:rsid w:val="009F02D8"/>
    <w:rsid w:val="009F0747"/>
    <w:rsid w:val="009F08A4"/>
    <w:rsid w:val="009F16D4"/>
    <w:rsid w:val="009F2279"/>
    <w:rsid w:val="009F3200"/>
    <w:rsid w:val="009F40D9"/>
    <w:rsid w:val="009F570D"/>
    <w:rsid w:val="009F725D"/>
    <w:rsid w:val="009F79B8"/>
    <w:rsid w:val="00A00C85"/>
    <w:rsid w:val="00A03185"/>
    <w:rsid w:val="00A07B0D"/>
    <w:rsid w:val="00A125DC"/>
    <w:rsid w:val="00A142CC"/>
    <w:rsid w:val="00A15C9E"/>
    <w:rsid w:val="00A1739C"/>
    <w:rsid w:val="00A17B49"/>
    <w:rsid w:val="00A22DD5"/>
    <w:rsid w:val="00A24619"/>
    <w:rsid w:val="00A2592C"/>
    <w:rsid w:val="00A25F4E"/>
    <w:rsid w:val="00A26E12"/>
    <w:rsid w:val="00A277AF"/>
    <w:rsid w:val="00A30621"/>
    <w:rsid w:val="00A3070B"/>
    <w:rsid w:val="00A3252C"/>
    <w:rsid w:val="00A35D86"/>
    <w:rsid w:val="00A37036"/>
    <w:rsid w:val="00A372CB"/>
    <w:rsid w:val="00A37BEA"/>
    <w:rsid w:val="00A409DD"/>
    <w:rsid w:val="00A415F9"/>
    <w:rsid w:val="00A5189F"/>
    <w:rsid w:val="00A51C01"/>
    <w:rsid w:val="00A51EDC"/>
    <w:rsid w:val="00A51FC2"/>
    <w:rsid w:val="00A55329"/>
    <w:rsid w:val="00A5543B"/>
    <w:rsid w:val="00A558F1"/>
    <w:rsid w:val="00A577A3"/>
    <w:rsid w:val="00A57F80"/>
    <w:rsid w:val="00A61CAE"/>
    <w:rsid w:val="00A65CD4"/>
    <w:rsid w:val="00A66F71"/>
    <w:rsid w:val="00A70CAD"/>
    <w:rsid w:val="00A7178B"/>
    <w:rsid w:val="00A75BAA"/>
    <w:rsid w:val="00A764DC"/>
    <w:rsid w:val="00A80E94"/>
    <w:rsid w:val="00A832E9"/>
    <w:rsid w:val="00A83E4E"/>
    <w:rsid w:val="00A85E0D"/>
    <w:rsid w:val="00A86F4E"/>
    <w:rsid w:val="00A87975"/>
    <w:rsid w:val="00A91FD4"/>
    <w:rsid w:val="00A92006"/>
    <w:rsid w:val="00A93DAF"/>
    <w:rsid w:val="00A95551"/>
    <w:rsid w:val="00A96383"/>
    <w:rsid w:val="00A970D8"/>
    <w:rsid w:val="00A978CA"/>
    <w:rsid w:val="00AA0393"/>
    <w:rsid w:val="00AA0C50"/>
    <w:rsid w:val="00AA1043"/>
    <w:rsid w:val="00AA1BC9"/>
    <w:rsid w:val="00AA1E77"/>
    <w:rsid w:val="00AA5D68"/>
    <w:rsid w:val="00AA6C85"/>
    <w:rsid w:val="00AA720A"/>
    <w:rsid w:val="00AB02F8"/>
    <w:rsid w:val="00AB24FD"/>
    <w:rsid w:val="00AB2AC5"/>
    <w:rsid w:val="00AB2B35"/>
    <w:rsid w:val="00AB4A1D"/>
    <w:rsid w:val="00AB52DA"/>
    <w:rsid w:val="00AC0877"/>
    <w:rsid w:val="00AC2503"/>
    <w:rsid w:val="00AC3BE3"/>
    <w:rsid w:val="00AC4941"/>
    <w:rsid w:val="00AC5DC0"/>
    <w:rsid w:val="00AC6A01"/>
    <w:rsid w:val="00AD0098"/>
    <w:rsid w:val="00AD0CB1"/>
    <w:rsid w:val="00AD2118"/>
    <w:rsid w:val="00AD2291"/>
    <w:rsid w:val="00AD273C"/>
    <w:rsid w:val="00AD2951"/>
    <w:rsid w:val="00AD3AC8"/>
    <w:rsid w:val="00AD4B34"/>
    <w:rsid w:val="00AD50B2"/>
    <w:rsid w:val="00AD54B3"/>
    <w:rsid w:val="00AD54B8"/>
    <w:rsid w:val="00AD63E2"/>
    <w:rsid w:val="00AD7FCD"/>
    <w:rsid w:val="00AE2E20"/>
    <w:rsid w:val="00AE491A"/>
    <w:rsid w:val="00AF12C3"/>
    <w:rsid w:val="00AF2077"/>
    <w:rsid w:val="00AF2F30"/>
    <w:rsid w:val="00AF3548"/>
    <w:rsid w:val="00AF3D05"/>
    <w:rsid w:val="00AF7FC8"/>
    <w:rsid w:val="00B01D72"/>
    <w:rsid w:val="00B0342E"/>
    <w:rsid w:val="00B04839"/>
    <w:rsid w:val="00B04A77"/>
    <w:rsid w:val="00B055C4"/>
    <w:rsid w:val="00B07B98"/>
    <w:rsid w:val="00B16FD9"/>
    <w:rsid w:val="00B2044F"/>
    <w:rsid w:val="00B2072A"/>
    <w:rsid w:val="00B24880"/>
    <w:rsid w:val="00B25B2D"/>
    <w:rsid w:val="00B27778"/>
    <w:rsid w:val="00B34C66"/>
    <w:rsid w:val="00B35863"/>
    <w:rsid w:val="00B363BD"/>
    <w:rsid w:val="00B36D80"/>
    <w:rsid w:val="00B401B9"/>
    <w:rsid w:val="00B41481"/>
    <w:rsid w:val="00B468BE"/>
    <w:rsid w:val="00B472E1"/>
    <w:rsid w:val="00B50617"/>
    <w:rsid w:val="00B536A2"/>
    <w:rsid w:val="00B56DD1"/>
    <w:rsid w:val="00B56E78"/>
    <w:rsid w:val="00B5785A"/>
    <w:rsid w:val="00B603D4"/>
    <w:rsid w:val="00B61D06"/>
    <w:rsid w:val="00B632FC"/>
    <w:rsid w:val="00B63DF3"/>
    <w:rsid w:val="00B663C4"/>
    <w:rsid w:val="00B674A7"/>
    <w:rsid w:val="00B674B8"/>
    <w:rsid w:val="00B71A85"/>
    <w:rsid w:val="00B71ECE"/>
    <w:rsid w:val="00B71FDF"/>
    <w:rsid w:val="00B723EE"/>
    <w:rsid w:val="00B74308"/>
    <w:rsid w:val="00B75D1D"/>
    <w:rsid w:val="00B80732"/>
    <w:rsid w:val="00B81403"/>
    <w:rsid w:val="00B82FA7"/>
    <w:rsid w:val="00B83DB5"/>
    <w:rsid w:val="00B84107"/>
    <w:rsid w:val="00B92141"/>
    <w:rsid w:val="00B944A6"/>
    <w:rsid w:val="00B956B9"/>
    <w:rsid w:val="00B963A7"/>
    <w:rsid w:val="00BA1136"/>
    <w:rsid w:val="00BA1772"/>
    <w:rsid w:val="00BA3678"/>
    <w:rsid w:val="00BA3C3E"/>
    <w:rsid w:val="00BA619A"/>
    <w:rsid w:val="00BA7D46"/>
    <w:rsid w:val="00BB1B16"/>
    <w:rsid w:val="00BB1BA0"/>
    <w:rsid w:val="00BB4633"/>
    <w:rsid w:val="00BB6A27"/>
    <w:rsid w:val="00BC0B9B"/>
    <w:rsid w:val="00BC0E7C"/>
    <w:rsid w:val="00BC12AA"/>
    <w:rsid w:val="00BC2BB4"/>
    <w:rsid w:val="00BC4C0F"/>
    <w:rsid w:val="00BC546C"/>
    <w:rsid w:val="00BC6092"/>
    <w:rsid w:val="00BC69F3"/>
    <w:rsid w:val="00BC6AA3"/>
    <w:rsid w:val="00BC7600"/>
    <w:rsid w:val="00BD0A30"/>
    <w:rsid w:val="00BD0E04"/>
    <w:rsid w:val="00BD51C6"/>
    <w:rsid w:val="00BD698E"/>
    <w:rsid w:val="00BD702D"/>
    <w:rsid w:val="00BE0557"/>
    <w:rsid w:val="00BE0AC6"/>
    <w:rsid w:val="00BE47DE"/>
    <w:rsid w:val="00BE52C7"/>
    <w:rsid w:val="00BE64CB"/>
    <w:rsid w:val="00BE6C88"/>
    <w:rsid w:val="00BF099F"/>
    <w:rsid w:val="00BF5826"/>
    <w:rsid w:val="00C04121"/>
    <w:rsid w:val="00C048E0"/>
    <w:rsid w:val="00C0591C"/>
    <w:rsid w:val="00C063DE"/>
    <w:rsid w:val="00C06DDF"/>
    <w:rsid w:val="00C07BF8"/>
    <w:rsid w:val="00C150B1"/>
    <w:rsid w:val="00C16BD9"/>
    <w:rsid w:val="00C2161B"/>
    <w:rsid w:val="00C21A20"/>
    <w:rsid w:val="00C221FD"/>
    <w:rsid w:val="00C2375C"/>
    <w:rsid w:val="00C247F3"/>
    <w:rsid w:val="00C2644D"/>
    <w:rsid w:val="00C2670A"/>
    <w:rsid w:val="00C267E5"/>
    <w:rsid w:val="00C275BA"/>
    <w:rsid w:val="00C277E4"/>
    <w:rsid w:val="00C30D01"/>
    <w:rsid w:val="00C32C9E"/>
    <w:rsid w:val="00C33D01"/>
    <w:rsid w:val="00C37154"/>
    <w:rsid w:val="00C3738E"/>
    <w:rsid w:val="00C41F77"/>
    <w:rsid w:val="00C43C0C"/>
    <w:rsid w:val="00C47B50"/>
    <w:rsid w:val="00C5104B"/>
    <w:rsid w:val="00C53D42"/>
    <w:rsid w:val="00C5400E"/>
    <w:rsid w:val="00C5428A"/>
    <w:rsid w:val="00C55B31"/>
    <w:rsid w:val="00C56270"/>
    <w:rsid w:val="00C56E63"/>
    <w:rsid w:val="00C60365"/>
    <w:rsid w:val="00C61A58"/>
    <w:rsid w:val="00C6248A"/>
    <w:rsid w:val="00C633A7"/>
    <w:rsid w:val="00C661EE"/>
    <w:rsid w:val="00C662D9"/>
    <w:rsid w:val="00C673F4"/>
    <w:rsid w:val="00C674AC"/>
    <w:rsid w:val="00C6776E"/>
    <w:rsid w:val="00C67AED"/>
    <w:rsid w:val="00C67F00"/>
    <w:rsid w:val="00C70905"/>
    <w:rsid w:val="00C70C84"/>
    <w:rsid w:val="00C711B1"/>
    <w:rsid w:val="00C71DFD"/>
    <w:rsid w:val="00C732C3"/>
    <w:rsid w:val="00C74F80"/>
    <w:rsid w:val="00C76B1B"/>
    <w:rsid w:val="00C76DAB"/>
    <w:rsid w:val="00C826F7"/>
    <w:rsid w:val="00C82D20"/>
    <w:rsid w:val="00C83E68"/>
    <w:rsid w:val="00C85952"/>
    <w:rsid w:val="00C91973"/>
    <w:rsid w:val="00C922B6"/>
    <w:rsid w:val="00C93013"/>
    <w:rsid w:val="00C93E80"/>
    <w:rsid w:val="00C95AE2"/>
    <w:rsid w:val="00C96E06"/>
    <w:rsid w:val="00C97673"/>
    <w:rsid w:val="00CA3509"/>
    <w:rsid w:val="00CA355A"/>
    <w:rsid w:val="00CA37D1"/>
    <w:rsid w:val="00CA6660"/>
    <w:rsid w:val="00CA78D2"/>
    <w:rsid w:val="00CB01A5"/>
    <w:rsid w:val="00CB1E93"/>
    <w:rsid w:val="00CB4183"/>
    <w:rsid w:val="00CB5488"/>
    <w:rsid w:val="00CB7208"/>
    <w:rsid w:val="00CC1243"/>
    <w:rsid w:val="00CC1DE6"/>
    <w:rsid w:val="00CC3747"/>
    <w:rsid w:val="00CC7554"/>
    <w:rsid w:val="00CD1F76"/>
    <w:rsid w:val="00CD5AC1"/>
    <w:rsid w:val="00CD6B05"/>
    <w:rsid w:val="00CD734C"/>
    <w:rsid w:val="00CD75BD"/>
    <w:rsid w:val="00CD7BEA"/>
    <w:rsid w:val="00CE0443"/>
    <w:rsid w:val="00CE25D1"/>
    <w:rsid w:val="00CE288A"/>
    <w:rsid w:val="00CE42E5"/>
    <w:rsid w:val="00CE4E33"/>
    <w:rsid w:val="00CE5559"/>
    <w:rsid w:val="00CE5BBF"/>
    <w:rsid w:val="00CF5240"/>
    <w:rsid w:val="00CF597F"/>
    <w:rsid w:val="00CF6AFA"/>
    <w:rsid w:val="00D003D7"/>
    <w:rsid w:val="00D008BE"/>
    <w:rsid w:val="00D00EBB"/>
    <w:rsid w:val="00D030E0"/>
    <w:rsid w:val="00D03B01"/>
    <w:rsid w:val="00D03CD0"/>
    <w:rsid w:val="00D07DC5"/>
    <w:rsid w:val="00D11FCB"/>
    <w:rsid w:val="00D129AF"/>
    <w:rsid w:val="00D12D6F"/>
    <w:rsid w:val="00D136DD"/>
    <w:rsid w:val="00D20D06"/>
    <w:rsid w:val="00D20D11"/>
    <w:rsid w:val="00D224EE"/>
    <w:rsid w:val="00D233CE"/>
    <w:rsid w:val="00D23DCD"/>
    <w:rsid w:val="00D30627"/>
    <w:rsid w:val="00D319BC"/>
    <w:rsid w:val="00D32BC5"/>
    <w:rsid w:val="00D34689"/>
    <w:rsid w:val="00D37587"/>
    <w:rsid w:val="00D377A8"/>
    <w:rsid w:val="00D37934"/>
    <w:rsid w:val="00D402B2"/>
    <w:rsid w:val="00D420C8"/>
    <w:rsid w:val="00D43B9F"/>
    <w:rsid w:val="00D442C9"/>
    <w:rsid w:val="00D4466D"/>
    <w:rsid w:val="00D447FA"/>
    <w:rsid w:val="00D469D5"/>
    <w:rsid w:val="00D46FA4"/>
    <w:rsid w:val="00D47E81"/>
    <w:rsid w:val="00D53663"/>
    <w:rsid w:val="00D54778"/>
    <w:rsid w:val="00D56565"/>
    <w:rsid w:val="00D577A0"/>
    <w:rsid w:val="00D60276"/>
    <w:rsid w:val="00D6143E"/>
    <w:rsid w:val="00D64036"/>
    <w:rsid w:val="00D67CB8"/>
    <w:rsid w:val="00D71374"/>
    <w:rsid w:val="00D715C6"/>
    <w:rsid w:val="00D73136"/>
    <w:rsid w:val="00D7343F"/>
    <w:rsid w:val="00D7417C"/>
    <w:rsid w:val="00D74FAD"/>
    <w:rsid w:val="00D7503D"/>
    <w:rsid w:val="00D7631E"/>
    <w:rsid w:val="00D76E34"/>
    <w:rsid w:val="00D77876"/>
    <w:rsid w:val="00D81576"/>
    <w:rsid w:val="00D82197"/>
    <w:rsid w:val="00D8445F"/>
    <w:rsid w:val="00D8492B"/>
    <w:rsid w:val="00D93E99"/>
    <w:rsid w:val="00DA0F4D"/>
    <w:rsid w:val="00DA11DA"/>
    <w:rsid w:val="00DA2B13"/>
    <w:rsid w:val="00DA365A"/>
    <w:rsid w:val="00DA5F4F"/>
    <w:rsid w:val="00DB006E"/>
    <w:rsid w:val="00DB095A"/>
    <w:rsid w:val="00DB132A"/>
    <w:rsid w:val="00DB198D"/>
    <w:rsid w:val="00DB1E93"/>
    <w:rsid w:val="00DB29E6"/>
    <w:rsid w:val="00DB330B"/>
    <w:rsid w:val="00DB54F2"/>
    <w:rsid w:val="00DB6D86"/>
    <w:rsid w:val="00DB7A8F"/>
    <w:rsid w:val="00DB7FC8"/>
    <w:rsid w:val="00DC0139"/>
    <w:rsid w:val="00DC22A4"/>
    <w:rsid w:val="00DC24BB"/>
    <w:rsid w:val="00DC41A0"/>
    <w:rsid w:val="00DC4E28"/>
    <w:rsid w:val="00DC535F"/>
    <w:rsid w:val="00DC7797"/>
    <w:rsid w:val="00DD00B3"/>
    <w:rsid w:val="00DD4B54"/>
    <w:rsid w:val="00DD5995"/>
    <w:rsid w:val="00DD7A9D"/>
    <w:rsid w:val="00DE1760"/>
    <w:rsid w:val="00DE454D"/>
    <w:rsid w:val="00DE51DB"/>
    <w:rsid w:val="00DF2056"/>
    <w:rsid w:val="00DF3ADD"/>
    <w:rsid w:val="00DF5A73"/>
    <w:rsid w:val="00DF5B2D"/>
    <w:rsid w:val="00DF77D3"/>
    <w:rsid w:val="00E0049E"/>
    <w:rsid w:val="00E00C69"/>
    <w:rsid w:val="00E01943"/>
    <w:rsid w:val="00E01F19"/>
    <w:rsid w:val="00E02250"/>
    <w:rsid w:val="00E038DF"/>
    <w:rsid w:val="00E04A8D"/>
    <w:rsid w:val="00E12DDC"/>
    <w:rsid w:val="00E141CD"/>
    <w:rsid w:val="00E14F80"/>
    <w:rsid w:val="00E151F2"/>
    <w:rsid w:val="00E1530F"/>
    <w:rsid w:val="00E1718D"/>
    <w:rsid w:val="00E17E7C"/>
    <w:rsid w:val="00E210CE"/>
    <w:rsid w:val="00E213F0"/>
    <w:rsid w:val="00E21C23"/>
    <w:rsid w:val="00E2415B"/>
    <w:rsid w:val="00E256B8"/>
    <w:rsid w:val="00E25AA1"/>
    <w:rsid w:val="00E27AFB"/>
    <w:rsid w:val="00E31EEE"/>
    <w:rsid w:val="00E33118"/>
    <w:rsid w:val="00E34344"/>
    <w:rsid w:val="00E37D91"/>
    <w:rsid w:val="00E40524"/>
    <w:rsid w:val="00E42629"/>
    <w:rsid w:val="00E43570"/>
    <w:rsid w:val="00E46C00"/>
    <w:rsid w:val="00E477EF"/>
    <w:rsid w:val="00E503C9"/>
    <w:rsid w:val="00E50C57"/>
    <w:rsid w:val="00E5123B"/>
    <w:rsid w:val="00E51620"/>
    <w:rsid w:val="00E5370E"/>
    <w:rsid w:val="00E53BFD"/>
    <w:rsid w:val="00E54277"/>
    <w:rsid w:val="00E5576F"/>
    <w:rsid w:val="00E5621C"/>
    <w:rsid w:val="00E572C6"/>
    <w:rsid w:val="00E629FC"/>
    <w:rsid w:val="00E6356C"/>
    <w:rsid w:val="00E64528"/>
    <w:rsid w:val="00E64826"/>
    <w:rsid w:val="00E67604"/>
    <w:rsid w:val="00E719E7"/>
    <w:rsid w:val="00E73142"/>
    <w:rsid w:val="00E73325"/>
    <w:rsid w:val="00E75B61"/>
    <w:rsid w:val="00E76D9D"/>
    <w:rsid w:val="00E8195F"/>
    <w:rsid w:val="00E866A8"/>
    <w:rsid w:val="00E86860"/>
    <w:rsid w:val="00E86AEF"/>
    <w:rsid w:val="00E91B26"/>
    <w:rsid w:val="00E924DA"/>
    <w:rsid w:val="00E93F82"/>
    <w:rsid w:val="00EA4CB6"/>
    <w:rsid w:val="00EB13D1"/>
    <w:rsid w:val="00EB2F05"/>
    <w:rsid w:val="00EB3029"/>
    <w:rsid w:val="00EB5327"/>
    <w:rsid w:val="00EB5834"/>
    <w:rsid w:val="00EB64CA"/>
    <w:rsid w:val="00EB758C"/>
    <w:rsid w:val="00EB78F6"/>
    <w:rsid w:val="00EC0583"/>
    <w:rsid w:val="00EC53C0"/>
    <w:rsid w:val="00EC594B"/>
    <w:rsid w:val="00ED015A"/>
    <w:rsid w:val="00ED17C2"/>
    <w:rsid w:val="00ED2940"/>
    <w:rsid w:val="00ED3277"/>
    <w:rsid w:val="00ED6FCB"/>
    <w:rsid w:val="00ED76A0"/>
    <w:rsid w:val="00EE16A3"/>
    <w:rsid w:val="00EE2923"/>
    <w:rsid w:val="00EE414D"/>
    <w:rsid w:val="00EE50C1"/>
    <w:rsid w:val="00EE51D4"/>
    <w:rsid w:val="00EE5292"/>
    <w:rsid w:val="00EE77B6"/>
    <w:rsid w:val="00EF059C"/>
    <w:rsid w:val="00EF12AA"/>
    <w:rsid w:val="00EF151D"/>
    <w:rsid w:val="00EF168F"/>
    <w:rsid w:val="00EF19C5"/>
    <w:rsid w:val="00EF217A"/>
    <w:rsid w:val="00EF280F"/>
    <w:rsid w:val="00EF665E"/>
    <w:rsid w:val="00EF741F"/>
    <w:rsid w:val="00F01B66"/>
    <w:rsid w:val="00F046AC"/>
    <w:rsid w:val="00F06ED7"/>
    <w:rsid w:val="00F13E7A"/>
    <w:rsid w:val="00F14B81"/>
    <w:rsid w:val="00F1576B"/>
    <w:rsid w:val="00F15FE4"/>
    <w:rsid w:val="00F167FA"/>
    <w:rsid w:val="00F16C09"/>
    <w:rsid w:val="00F17507"/>
    <w:rsid w:val="00F22465"/>
    <w:rsid w:val="00F24127"/>
    <w:rsid w:val="00F26278"/>
    <w:rsid w:val="00F30AB6"/>
    <w:rsid w:val="00F3255E"/>
    <w:rsid w:val="00F3347A"/>
    <w:rsid w:val="00F37D3E"/>
    <w:rsid w:val="00F40576"/>
    <w:rsid w:val="00F42435"/>
    <w:rsid w:val="00F44814"/>
    <w:rsid w:val="00F457CF"/>
    <w:rsid w:val="00F55ACD"/>
    <w:rsid w:val="00F57034"/>
    <w:rsid w:val="00F609D3"/>
    <w:rsid w:val="00F619D5"/>
    <w:rsid w:val="00F61BAC"/>
    <w:rsid w:val="00F63CAF"/>
    <w:rsid w:val="00F63DFF"/>
    <w:rsid w:val="00F646EB"/>
    <w:rsid w:val="00F70BA6"/>
    <w:rsid w:val="00F7187E"/>
    <w:rsid w:val="00F738E0"/>
    <w:rsid w:val="00F73BE1"/>
    <w:rsid w:val="00F73FBF"/>
    <w:rsid w:val="00F742A9"/>
    <w:rsid w:val="00F74421"/>
    <w:rsid w:val="00F7593E"/>
    <w:rsid w:val="00F75F9A"/>
    <w:rsid w:val="00F83565"/>
    <w:rsid w:val="00F83B2B"/>
    <w:rsid w:val="00F84EC4"/>
    <w:rsid w:val="00F851CD"/>
    <w:rsid w:val="00F8769C"/>
    <w:rsid w:val="00F95DFE"/>
    <w:rsid w:val="00F971AC"/>
    <w:rsid w:val="00F97F46"/>
    <w:rsid w:val="00FA18A8"/>
    <w:rsid w:val="00FA3EF5"/>
    <w:rsid w:val="00FA4200"/>
    <w:rsid w:val="00FA7385"/>
    <w:rsid w:val="00FA7A16"/>
    <w:rsid w:val="00FB1E8D"/>
    <w:rsid w:val="00FC1F92"/>
    <w:rsid w:val="00FC2B31"/>
    <w:rsid w:val="00FC35E9"/>
    <w:rsid w:val="00FC44F8"/>
    <w:rsid w:val="00FC59D0"/>
    <w:rsid w:val="00FC5EE7"/>
    <w:rsid w:val="00FC6C0E"/>
    <w:rsid w:val="00FD05C2"/>
    <w:rsid w:val="00FD2DF0"/>
    <w:rsid w:val="00FD3627"/>
    <w:rsid w:val="00FD52EC"/>
    <w:rsid w:val="00FD79E0"/>
    <w:rsid w:val="00FE1083"/>
    <w:rsid w:val="00FE2D30"/>
    <w:rsid w:val="00FE2F5D"/>
    <w:rsid w:val="00FE4A28"/>
    <w:rsid w:val="00FE4B33"/>
    <w:rsid w:val="00FE5FF2"/>
    <w:rsid w:val="00FE6F22"/>
    <w:rsid w:val="00FF10A9"/>
    <w:rsid w:val="00FF1F00"/>
    <w:rsid w:val="00FF273E"/>
    <w:rsid w:val="00FF2792"/>
    <w:rsid w:val="00FF351D"/>
    <w:rsid w:val="00FF4B35"/>
    <w:rsid w:val="00FF5F32"/>
    <w:rsid w:val="00FF69E0"/>
    <w:rsid w:val="00FF6F27"/>
    <w:rsid w:val="00FF7829"/>
    <w:rsid w:val="00FF7951"/>
    <w:rsid w:val="01070616"/>
    <w:rsid w:val="011875F3"/>
    <w:rsid w:val="01205BE3"/>
    <w:rsid w:val="012A7C93"/>
    <w:rsid w:val="01421A50"/>
    <w:rsid w:val="01447028"/>
    <w:rsid w:val="014C654B"/>
    <w:rsid w:val="01541023"/>
    <w:rsid w:val="0173661C"/>
    <w:rsid w:val="01774F07"/>
    <w:rsid w:val="017B232A"/>
    <w:rsid w:val="017B69F6"/>
    <w:rsid w:val="017B6AED"/>
    <w:rsid w:val="017E0E2D"/>
    <w:rsid w:val="01810D13"/>
    <w:rsid w:val="018E6327"/>
    <w:rsid w:val="019601A1"/>
    <w:rsid w:val="019C14D5"/>
    <w:rsid w:val="01A94880"/>
    <w:rsid w:val="01B426AF"/>
    <w:rsid w:val="01B70CE9"/>
    <w:rsid w:val="01BE12DE"/>
    <w:rsid w:val="01D106E6"/>
    <w:rsid w:val="01DA0CCB"/>
    <w:rsid w:val="01ED1CBB"/>
    <w:rsid w:val="01F82DF7"/>
    <w:rsid w:val="01F91DF9"/>
    <w:rsid w:val="020A054F"/>
    <w:rsid w:val="020C143B"/>
    <w:rsid w:val="020F6B49"/>
    <w:rsid w:val="02243088"/>
    <w:rsid w:val="022B2555"/>
    <w:rsid w:val="024129B6"/>
    <w:rsid w:val="02433327"/>
    <w:rsid w:val="02464EF5"/>
    <w:rsid w:val="02521609"/>
    <w:rsid w:val="0260062B"/>
    <w:rsid w:val="026A202C"/>
    <w:rsid w:val="02800C16"/>
    <w:rsid w:val="029408C3"/>
    <w:rsid w:val="02962B11"/>
    <w:rsid w:val="02D07827"/>
    <w:rsid w:val="02EB514A"/>
    <w:rsid w:val="02F61C56"/>
    <w:rsid w:val="02FE0A17"/>
    <w:rsid w:val="03213F75"/>
    <w:rsid w:val="03272D30"/>
    <w:rsid w:val="032C6CF5"/>
    <w:rsid w:val="03352627"/>
    <w:rsid w:val="033954B2"/>
    <w:rsid w:val="03516967"/>
    <w:rsid w:val="03671B7D"/>
    <w:rsid w:val="036B1836"/>
    <w:rsid w:val="036C15B3"/>
    <w:rsid w:val="036D0AEF"/>
    <w:rsid w:val="03847847"/>
    <w:rsid w:val="03896DBA"/>
    <w:rsid w:val="03946F2C"/>
    <w:rsid w:val="039774DD"/>
    <w:rsid w:val="039A1AE1"/>
    <w:rsid w:val="03BF34F7"/>
    <w:rsid w:val="03C01FED"/>
    <w:rsid w:val="03DE2EC3"/>
    <w:rsid w:val="03E62958"/>
    <w:rsid w:val="03F67FA0"/>
    <w:rsid w:val="04057FA0"/>
    <w:rsid w:val="040910B3"/>
    <w:rsid w:val="041172F5"/>
    <w:rsid w:val="041B44E3"/>
    <w:rsid w:val="04222CC6"/>
    <w:rsid w:val="042C027E"/>
    <w:rsid w:val="042D36A0"/>
    <w:rsid w:val="04336F0F"/>
    <w:rsid w:val="043B7D55"/>
    <w:rsid w:val="044946FA"/>
    <w:rsid w:val="047A0D39"/>
    <w:rsid w:val="048E0161"/>
    <w:rsid w:val="04B74654"/>
    <w:rsid w:val="04C452B6"/>
    <w:rsid w:val="04CE4ED2"/>
    <w:rsid w:val="04D52207"/>
    <w:rsid w:val="04E020B5"/>
    <w:rsid w:val="04E24BEE"/>
    <w:rsid w:val="04E66690"/>
    <w:rsid w:val="04EA36A5"/>
    <w:rsid w:val="04F23FA9"/>
    <w:rsid w:val="04F976C3"/>
    <w:rsid w:val="05247BA8"/>
    <w:rsid w:val="053540BA"/>
    <w:rsid w:val="05413AE2"/>
    <w:rsid w:val="05452C3E"/>
    <w:rsid w:val="054C3143"/>
    <w:rsid w:val="055742D7"/>
    <w:rsid w:val="055A294C"/>
    <w:rsid w:val="05633800"/>
    <w:rsid w:val="057C739A"/>
    <w:rsid w:val="057E4FB8"/>
    <w:rsid w:val="05814912"/>
    <w:rsid w:val="058C5BAA"/>
    <w:rsid w:val="0593613F"/>
    <w:rsid w:val="05942BB2"/>
    <w:rsid w:val="05975717"/>
    <w:rsid w:val="05A33103"/>
    <w:rsid w:val="05AB7412"/>
    <w:rsid w:val="05B448B0"/>
    <w:rsid w:val="05BD7B9E"/>
    <w:rsid w:val="05DC667E"/>
    <w:rsid w:val="05E36017"/>
    <w:rsid w:val="05EB648F"/>
    <w:rsid w:val="05F67E3D"/>
    <w:rsid w:val="06003EAC"/>
    <w:rsid w:val="06132106"/>
    <w:rsid w:val="061F6806"/>
    <w:rsid w:val="06251E3F"/>
    <w:rsid w:val="06347BE1"/>
    <w:rsid w:val="063B5994"/>
    <w:rsid w:val="063C26AB"/>
    <w:rsid w:val="063F5F0F"/>
    <w:rsid w:val="064709D3"/>
    <w:rsid w:val="064E6E47"/>
    <w:rsid w:val="065046DD"/>
    <w:rsid w:val="065C0A52"/>
    <w:rsid w:val="06844B16"/>
    <w:rsid w:val="068D46D6"/>
    <w:rsid w:val="068E19B9"/>
    <w:rsid w:val="068F5593"/>
    <w:rsid w:val="069029AB"/>
    <w:rsid w:val="069871AF"/>
    <w:rsid w:val="069E2787"/>
    <w:rsid w:val="06A23A40"/>
    <w:rsid w:val="06B20DD3"/>
    <w:rsid w:val="06B23209"/>
    <w:rsid w:val="06BC00DB"/>
    <w:rsid w:val="06CE633C"/>
    <w:rsid w:val="06D876B5"/>
    <w:rsid w:val="06F07832"/>
    <w:rsid w:val="071C45F1"/>
    <w:rsid w:val="071E7AB6"/>
    <w:rsid w:val="072C0821"/>
    <w:rsid w:val="074836E1"/>
    <w:rsid w:val="07570C31"/>
    <w:rsid w:val="07581E18"/>
    <w:rsid w:val="07783715"/>
    <w:rsid w:val="07836913"/>
    <w:rsid w:val="07857EB3"/>
    <w:rsid w:val="07A259A7"/>
    <w:rsid w:val="07A4533D"/>
    <w:rsid w:val="07B33D1E"/>
    <w:rsid w:val="07B50647"/>
    <w:rsid w:val="07BA6BEA"/>
    <w:rsid w:val="07CA7856"/>
    <w:rsid w:val="07D80FFF"/>
    <w:rsid w:val="07E8782A"/>
    <w:rsid w:val="07F75FB5"/>
    <w:rsid w:val="080B19F9"/>
    <w:rsid w:val="08100071"/>
    <w:rsid w:val="081B3772"/>
    <w:rsid w:val="082E19C2"/>
    <w:rsid w:val="0832721B"/>
    <w:rsid w:val="0832788D"/>
    <w:rsid w:val="085D0B87"/>
    <w:rsid w:val="087E29AD"/>
    <w:rsid w:val="088D328D"/>
    <w:rsid w:val="089A429D"/>
    <w:rsid w:val="089B432E"/>
    <w:rsid w:val="08B071E3"/>
    <w:rsid w:val="08B727D6"/>
    <w:rsid w:val="08D076C7"/>
    <w:rsid w:val="08DF7EC8"/>
    <w:rsid w:val="08F23A31"/>
    <w:rsid w:val="08FA2B71"/>
    <w:rsid w:val="09050C42"/>
    <w:rsid w:val="09084C22"/>
    <w:rsid w:val="091B2112"/>
    <w:rsid w:val="091D7DEC"/>
    <w:rsid w:val="0928185C"/>
    <w:rsid w:val="093169E4"/>
    <w:rsid w:val="09335B62"/>
    <w:rsid w:val="09430C14"/>
    <w:rsid w:val="09431453"/>
    <w:rsid w:val="09521EB9"/>
    <w:rsid w:val="09622BD0"/>
    <w:rsid w:val="09696F06"/>
    <w:rsid w:val="09710BC8"/>
    <w:rsid w:val="097771CC"/>
    <w:rsid w:val="097F61FD"/>
    <w:rsid w:val="09800503"/>
    <w:rsid w:val="098C3B90"/>
    <w:rsid w:val="09981BA1"/>
    <w:rsid w:val="09990514"/>
    <w:rsid w:val="099C6AF0"/>
    <w:rsid w:val="09A30B9E"/>
    <w:rsid w:val="09AA0D7E"/>
    <w:rsid w:val="09C104BA"/>
    <w:rsid w:val="09D344DB"/>
    <w:rsid w:val="09EB395D"/>
    <w:rsid w:val="09FC6952"/>
    <w:rsid w:val="0A0D7547"/>
    <w:rsid w:val="0A165F4E"/>
    <w:rsid w:val="0A20462D"/>
    <w:rsid w:val="0A3E648C"/>
    <w:rsid w:val="0A471E0C"/>
    <w:rsid w:val="0A4B60B7"/>
    <w:rsid w:val="0A5375E9"/>
    <w:rsid w:val="0A580064"/>
    <w:rsid w:val="0A5C177B"/>
    <w:rsid w:val="0A624266"/>
    <w:rsid w:val="0A7C4B29"/>
    <w:rsid w:val="0A891E48"/>
    <w:rsid w:val="0A8A5528"/>
    <w:rsid w:val="0A8F5A15"/>
    <w:rsid w:val="0A9039DB"/>
    <w:rsid w:val="0AA10397"/>
    <w:rsid w:val="0AAF104C"/>
    <w:rsid w:val="0ABB3C17"/>
    <w:rsid w:val="0AC41712"/>
    <w:rsid w:val="0AE80F3F"/>
    <w:rsid w:val="0AEE622E"/>
    <w:rsid w:val="0AFB4584"/>
    <w:rsid w:val="0B056DB2"/>
    <w:rsid w:val="0B2648BC"/>
    <w:rsid w:val="0B2B6C74"/>
    <w:rsid w:val="0B2B7C1B"/>
    <w:rsid w:val="0B2D6365"/>
    <w:rsid w:val="0B325265"/>
    <w:rsid w:val="0B3D11F6"/>
    <w:rsid w:val="0B4215E3"/>
    <w:rsid w:val="0B571FDF"/>
    <w:rsid w:val="0B61416C"/>
    <w:rsid w:val="0B6A1812"/>
    <w:rsid w:val="0B6A28C6"/>
    <w:rsid w:val="0B744DA2"/>
    <w:rsid w:val="0B754D2A"/>
    <w:rsid w:val="0B77271C"/>
    <w:rsid w:val="0B8112B3"/>
    <w:rsid w:val="0B8B58E7"/>
    <w:rsid w:val="0B902E4E"/>
    <w:rsid w:val="0BA06348"/>
    <w:rsid w:val="0BB27520"/>
    <w:rsid w:val="0BB93911"/>
    <w:rsid w:val="0BBA0C4B"/>
    <w:rsid w:val="0BC45831"/>
    <w:rsid w:val="0BF86FE7"/>
    <w:rsid w:val="0BFF3B67"/>
    <w:rsid w:val="0C02111C"/>
    <w:rsid w:val="0C0F2736"/>
    <w:rsid w:val="0C1F34DC"/>
    <w:rsid w:val="0C295581"/>
    <w:rsid w:val="0C2B49DF"/>
    <w:rsid w:val="0C35595A"/>
    <w:rsid w:val="0C3C352A"/>
    <w:rsid w:val="0C3D687F"/>
    <w:rsid w:val="0C413373"/>
    <w:rsid w:val="0C506BFD"/>
    <w:rsid w:val="0C5E3925"/>
    <w:rsid w:val="0CAF786F"/>
    <w:rsid w:val="0CC071CC"/>
    <w:rsid w:val="0CC33A6E"/>
    <w:rsid w:val="0CCB1A6D"/>
    <w:rsid w:val="0CCE6950"/>
    <w:rsid w:val="0CE63495"/>
    <w:rsid w:val="0CED46E4"/>
    <w:rsid w:val="0CFE1A5B"/>
    <w:rsid w:val="0D0102C4"/>
    <w:rsid w:val="0D0D50D8"/>
    <w:rsid w:val="0D2328FD"/>
    <w:rsid w:val="0D246175"/>
    <w:rsid w:val="0D354411"/>
    <w:rsid w:val="0D384560"/>
    <w:rsid w:val="0D586BB9"/>
    <w:rsid w:val="0D5E4578"/>
    <w:rsid w:val="0D6248CE"/>
    <w:rsid w:val="0D932A9C"/>
    <w:rsid w:val="0DA431C1"/>
    <w:rsid w:val="0DAD208B"/>
    <w:rsid w:val="0DD01C16"/>
    <w:rsid w:val="0DE27D64"/>
    <w:rsid w:val="0DE663C8"/>
    <w:rsid w:val="0DEF5465"/>
    <w:rsid w:val="0E04615B"/>
    <w:rsid w:val="0E0F5E26"/>
    <w:rsid w:val="0E186BCE"/>
    <w:rsid w:val="0E1B6398"/>
    <w:rsid w:val="0E2510FD"/>
    <w:rsid w:val="0E42251F"/>
    <w:rsid w:val="0E4C7ACC"/>
    <w:rsid w:val="0E5E0A53"/>
    <w:rsid w:val="0E5F068F"/>
    <w:rsid w:val="0E622BC6"/>
    <w:rsid w:val="0E64174A"/>
    <w:rsid w:val="0E6D6386"/>
    <w:rsid w:val="0E8344BE"/>
    <w:rsid w:val="0E8D0971"/>
    <w:rsid w:val="0E900FFE"/>
    <w:rsid w:val="0EA4430F"/>
    <w:rsid w:val="0EAA180D"/>
    <w:rsid w:val="0EAF3AAA"/>
    <w:rsid w:val="0EC12904"/>
    <w:rsid w:val="0ED33C1C"/>
    <w:rsid w:val="0EE06D64"/>
    <w:rsid w:val="0EE43633"/>
    <w:rsid w:val="0EEA645C"/>
    <w:rsid w:val="0F125467"/>
    <w:rsid w:val="0F14281A"/>
    <w:rsid w:val="0F29568F"/>
    <w:rsid w:val="0F2F6DE5"/>
    <w:rsid w:val="0F306F42"/>
    <w:rsid w:val="0F436C0F"/>
    <w:rsid w:val="0F545203"/>
    <w:rsid w:val="0F6560BB"/>
    <w:rsid w:val="0F7134A5"/>
    <w:rsid w:val="0F7263B7"/>
    <w:rsid w:val="0F7E56BA"/>
    <w:rsid w:val="0F8762AC"/>
    <w:rsid w:val="0F8B2962"/>
    <w:rsid w:val="0F92761B"/>
    <w:rsid w:val="0F942CE8"/>
    <w:rsid w:val="0FA27E71"/>
    <w:rsid w:val="0FB94F51"/>
    <w:rsid w:val="0FBB21AB"/>
    <w:rsid w:val="0FCB2E43"/>
    <w:rsid w:val="0FCF6AFF"/>
    <w:rsid w:val="0FD8548C"/>
    <w:rsid w:val="0FF53235"/>
    <w:rsid w:val="1000620C"/>
    <w:rsid w:val="10116B43"/>
    <w:rsid w:val="1026403C"/>
    <w:rsid w:val="1027456B"/>
    <w:rsid w:val="105E1DA0"/>
    <w:rsid w:val="10677E1A"/>
    <w:rsid w:val="107D26D6"/>
    <w:rsid w:val="108021FF"/>
    <w:rsid w:val="1083456A"/>
    <w:rsid w:val="10891209"/>
    <w:rsid w:val="10BA3C92"/>
    <w:rsid w:val="10BE6C15"/>
    <w:rsid w:val="10DD7B2E"/>
    <w:rsid w:val="10FD152D"/>
    <w:rsid w:val="10FE5AC8"/>
    <w:rsid w:val="1101711F"/>
    <w:rsid w:val="11047FF2"/>
    <w:rsid w:val="11085C99"/>
    <w:rsid w:val="111F3C30"/>
    <w:rsid w:val="1146562B"/>
    <w:rsid w:val="11552CCF"/>
    <w:rsid w:val="115D1530"/>
    <w:rsid w:val="11725A0F"/>
    <w:rsid w:val="117D5D0D"/>
    <w:rsid w:val="118312D1"/>
    <w:rsid w:val="11926B3B"/>
    <w:rsid w:val="119B0455"/>
    <w:rsid w:val="11A26EE6"/>
    <w:rsid w:val="11B96311"/>
    <w:rsid w:val="11B97FC4"/>
    <w:rsid w:val="11C5665B"/>
    <w:rsid w:val="11C70189"/>
    <w:rsid w:val="11CF4D91"/>
    <w:rsid w:val="11D277EE"/>
    <w:rsid w:val="11DA5E44"/>
    <w:rsid w:val="11EF39ED"/>
    <w:rsid w:val="11FA03FD"/>
    <w:rsid w:val="120C0322"/>
    <w:rsid w:val="1210249B"/>
    <w:rsid w:val="1218629E"/>
    <w:rsid w:val="122F2711"/>
    <w:rsid w:val="12362319"/>
    <w:rsid w:val="124976E1"/>
    <w:rsid w:val="125065F2"/>
    <w:rsid w:val="125F2925"/>
    <w:rsid w:val="12611C74"/>
    <w:rsid w:val="126221E2"/>
    <w:rsid w:val="12837E79"/>
    <w:rsid w:val="128957B5"/>
    <w:rsid w:val="128F13DF"/>
    <w:rsid w:val="12976809"/>
    <w:rsid w:val="12997EB5"/>
    <w:rsid w:val="12A00CCC"/>
    <w:rsid w:val="12A97E0E"/>
    <w:rsid w:val="12B210A5"/>
    <w:rsid w:val="12C83382"/>
    <w:rsid w:val="12D04D8E"/>
    <w:rsid w:val="12D10DDB"/>
    <w:rsid w:val="12E01772"/>
    <w:rsid w:val="12F83033"/>
    <w:rsid w:val="130A3BF9"/>
    <w:rsid w:val="132159A0"/>
    <w:rsid w:val="13294C49"/>
    <w:rsid w:val="132B46BC"/>
    <w:rsid w:val="13302A2F"/>
    <w:rsid w:val="13361878"/>
    <w:rsid w:val="13375059"/>
    <w:rsid w:val="133A08A3"/>
    <w:rsid w:val="133F2EDE"/>
    <w:rsid w:val="134F2A2F"/>
    <w:rsid w:val="135935B8"/>
    <w:rsid w:val="13616770"/>
    <w:rsid w:val="136E4CA9"/>
    <w:rsid w:val="136F5D77"/>
    <w:rsid w:val="13726C83"/>
    <w:rsid w:val="13892347"/>
    <w:rsid w:val="13901C41"/>
    <w:rsid w:val="13973FDB"/>
    <w:rsid w:val="139778D9"/>
    <w:rsid w:val="139C2FBD"/>
    <w:rsid w:val="139F52BA"/>
    <w:rsid w:val="139F5A98"/>
    <w:rsid w:val="13A02EF1"/>
    <w:rsid w:val="13BB26CB"/>
    <w:rsid w:val="13C34F24"/>
    <w:rsid w:val="13D81030"/>
    <w:rsid w:val="13D837E0"/>
    <w:rsid w:val="13DB6CE5"/>
    <w:rsid w:val="13F316C2"/>
    <w:rsid w:val="13F86E7F"/>
    <w:rsid w:val="13F95CA0"/>
    <w:rsid w:val="140657A5"/>
    <w:rsid w:val="140C1342"/>
    <w:rsid w:val="140E1EC3"/>
    <w:rsid w:val="141460B1"/>
    <w:rsid w:val="141E6049"/>
    <w:rsid w:val="142A4F7C"/>
    <w:rsid w:val="14391585"/>
    <w:rsid w:val="143D3FEB"/>
    <w:rsid w:val="14493002"/>
    <w:rsid w:val="14605730"/>
    <w:rsid w:val="1461543D"/>
    <w:rsid w:val="1462580E"/>
    <w:rsid w:val="14694066"/>
    <w:rsid w:val="146F3739"/>
    <w:rsid w:val="14744ADB"/>
    <w:rsid w:val="147A14A6"/>
    <w:rsid w:val="147D71E1"/>
    <w:rsid w:val="14852E69"/>
    <w:rsid w:val="14957418"/>
    <w:rsid w:val="14A05F2E"/>
    <w:rsid w:val="14A250EA"/>
    <w:rsid w:val="14BC0BA6"/>
    <w:rsid w:val="14BD4A6F"/>
    <w:rsid w:val="14BF0A4C"/>
    <w:rsid w:val="14C776D4"/>
    <w:rsid w:val="14CA5CC2"/>
    <w:rsid w:val="14D371DD"/>
    <w:rsid w:val="14DC42CA"/>
    <w:rsid w:val="14DE153D"/>
    <w:rsid w:val="14E07592"/>
    <w:rsid w:val="14E61130"/>
    <w:rsid w:val="14E8454F"/>
    <w:rsid w:val="14EE33CC"/>
    <w:rsid w:val="14EF23A7"/>
    <w:rsid w:val="150E1E5C"/>
    <w:rsid w:val="15151CE2"/>
    <w:rsid w:val="154F4183"/>
    <w:rsid w:val="15702C46"/>
    <w:rsid w:val="157D3F35"/>
    <w:rsid w:val="158B4FA4"/>
    <w:rsid w:val="15967974"/>
    <w:rsid w:val="159E441F"/>
    <w:rsid w:val="15A67D71"/>
    <w:rsid w:val="15AD7A67"/>
    <w:rsid w:val="15AE5363"/>
    <w:rsid w:val="15AF749A"/>
    <w:rsid w:val="15B10EED"/>
    <w:rsid w:val="15BA6B31"/>
    <w:rsid w:val="15BE2EC1"/>
    <w:rsid w:val="15D14088"/>
    <w:rsid w:val="15D350CC"/>
    <w:rsid w:val="15DC68CD"/>
    <w:rsid w:val="15E90172"/>
    <w:rsid w:val="15EC3FF2"/>
    <w:rsid w:val="15FC3FA9"/>
    <w:rsid w:val="15FF5BFC"/>
    <w:rsid w:val="16015DA1"/>
    <w:rsid w:val="16044C22"/>
    <w:rsid w:val="160C1741"/>
    <w:rsid w:val="160F5F4E"/>
    <w:rsid w:val="162251F3"/>
    <w:rsid w:val="163A39B3"/>
    <w:rsid w:val="163D3C9A"/>
    <w:rsid w:val="16403A69"/>
    <w:rsid w:val="164135B5"/>
    <w:rsid w:val="164324F1"/>
    <w:rsid w:val="16493B83"/>
    <w:rsid w:val="164A20AD"/>
    <w:rsid w:val="16575035"/>
    <w:rsid w:val="16675BCA"/>
    <w:rsid w:val="166B2293"/>
    <w:rsid w:val="166B2DED"/>
    <w:rsid w:val="167615CB"/>
    <w:rsid w:val="168F4942"/>
    <w:rsid w:val="16A34122"/>
    <w:rsid w:val="16A40DEA"/>
    <w:rsid w:val="16A541E7"/>
    <w:rsid w:val="16B44F10"/>
    <w:rsid w:val="16C05F11"/>
    <w:rsid w:val="16C627B5"/>
    <w:rsid w:val="16D55DC9"/>
    <w:rsid w:val="16D832E5"/>
    <w:rsid w:val="16F83A80"/>
    <w:rsid w:val="16FC7909"/>
    <w:rsid w:val="17257BCD"/>
    <w:rsid w:val="173F6BC6"/>
    <w:rsid w:val="175940C3"/>
    <w:rsid w:val="17635F43"/>
    <w:rsid w:val="176A2393"/>
    <w:rsid w:val="176D2793"/>
    <w:rsid w:val="17737036"/>
    <w:rsid w:val="17754E13"/>
    <w:rsid w:val="177A3DD0"/>
    <w:rsid w:val="177F3F9F"/>
    <w:rsid w:val="178642D6"/>
    <w:rsid w:val="178D2CFC"/>
    <w:rsid w:val="179774B6"/>
    <w:rsid w:val="17B433F0"/>
    <w:rsid w:val="17D02DBB"/>
    <w:rsid w:val="17D92F61"/>
    <w:rsid w:val="17DB5CE5"/>
    <w:rsid w:val="17E5028E"/>
    <w:rsid w:val="17F231BD"/>
    <w:rsid w:val="17F96C90"/>
    <w:rsid w:val="17FA4A52"/>
    <w:rsid w:val="17FF330D"/>
    <w:rsid w:val="181D4AB1"/>
    <w:rsid w:val="181E1627"/>
    <w:rsid w:val="18322C89"/>
    <w:rsid w:val="183B3BC9"/>
    <w:rsid w:val="18503FF1"/>
    <w:rsid w:val="1854204B"/>
    <w:rsid w:val="185A5B2C"/>
    <w:rsid w:val="186E1EBE"/>
    <w:rsid w:val="18784296"/>
    <w:rsid w:val="188717B4"/>
    <w:rsid w:val="18874C26"/>
    <w:rsid w:val="188E5619"/>
    <w:rsid w:val="18943997"/>
    <w:rsid w:val="189D2D33"/>
    <w:rsid w:val="18A840A3"/>
    <w:rsid w:val="18B87894"/>
    <w:rsid w:val="18C53026"/>
    <w:rsid w:val="18C53A62"/>
    <w:rsid w:val="18D31B0D"/>
    <w:rsid w:val="18D519C6"/>
    <w:rsid w:val="18DB2F41"/>
    <w:rsid w:val="18FC3BFF"/>
    <w:rsid w:val="191C790F"/>
    <w:rsid w:val="19205F78"/>
    <w:rsid w:val="193A249B"/>
    <w:rsid w:val="194037A5"/>
    <w:rsid w:val="194225B4"/>
    <w:rsid w:val="19583F43"/>
    <w:rsid w:val="195E4DC6"/>
    <w:rsid w:val="195E5E11"/>
    <w:rsid w:val="195F0D86"/>
    <w:rsid w:val="196011B0"/>
    <w:rsid w:val="197B07E6"/>
    <w:rsid w:val="197E50D6"/>
    <w:rsid w:val="19860866"/>
    <w:rsid w:val="198A3953"/>
    <w:rsid w:val="19A25FD6"/>
    <w:rsid w:val="19A80AE8"/>
    <w:rsid w:val="19AC67D2"/>
    <w:rsid w:val="19C20EBE"/>
    <w:rsid w:val="19C97527"/>
    <w:rsid w:val="19CF7608"/>
    <w:rsid w:val="19D211D5"/>
    <w:rsid w:val="19DF2185"/>
    <w:rsid w:val="19E55B8F"/>
    <w:rsid w:val="19EE1559"/>
    <w:rsid w:val="19F15F28"/>
    <w:rsid w:val="1A003547"/>
    <w:rsid w:val="1A0C0717"/>
    <w:rsid w:val="1A0F6EFB"/>
    <w:rsid w:val="1A151334"/>
    <w:rsid w:val="1A526A0C"/>
    <w:rsid w:val="1A54666A"/>
    <w:rsid w:val="1A5801D7"/>
    <w:rsid w:val="1A5D7515"/>
    <w:rsid w:val="1A5F010B"/>
    <w:rsid w:val="1A6B104A"/>
    <w:rsid w:val="1A7F599B"/>
    <w:rsid w:val="1A8F5E9E"/>
    <w:rsid w:val="1A907A02"/>
    <w:rsid w:val="1A9819A1"/>
    <w:rsid w:val="1A996320"/>
    <w:rsid w:val="1A9A3353"/>
    <w:rsid w:val="1AA80F18"/>
    <w:rsid w:val="1AB25448"/>
    <w:rsid w:val="1ABA1752"/>
    <w:rsid w:val="1ABB5D13"/>
    <w:rsid w:val="1AD10560"/>
    <w:rsid w:val="1ADD3587"/>
    <w:rsid w:val="1AFB47D7"/>
    <w:rsid w:val="1B001181"/>
    <w:rsid w:val="1B2750A0"/>
    <w:rsid w:val="1B2A77FA"/>
    <w:rsid w:val="1B352962"/>
    <w:rsid w:val="1B45268C"/>
    <w:rsid w:val="1B4B3E1E"/>
    <w:rsid w:val="1B8D5EBA"/>
    <w:rsid w:val="1BB0419E"/>
    <w:rsid w:val="1BCF5DCF"/>
    <w:rsid w:val="1BD2527B"/>
    <w:rsid w:val="1BE561EC"/>
    <w:rsid w:val="1BFB1FE6"/>
    <w:rsid w:val="1C142B7F"/>
    <w:rsid w:val="1C144A13"/>
    <w:rsid w:val="1C1601D5"/>
    <w:rsid w:val="1C232599"/>
    <w:rsid w:val="1C35745B"/>
    <w:rsid w:val="1C390AC3"/>
    <w:rsid w:val="1C446C41"/>
    <w:rsid w:val="1C4A3873"/>
    <w:rsid w:val="1C505F62"/>
    <w:rsid w:val="1C521CE8"/>
    <w:rsid w:val="1C575CB0"/>
    <w:rsid w:val="1C6C4DC4"/>
    <w:rsid w:val="1C74391B"/>
    <w:rsid w:val="1C9878D2"/>
    <w:rsid w:val="1CA01FB5"/>
    <w:rsid w:val="1CA337CD"/>
    <w:rsid w:val="1CA53D22"/>
    <w:rsid w:val="1CBD7B6F"/>
    <w:rsid w:val="1CC07CB8"/>
    <w:rsid w:val="1CC1063C"/>
    <w:rsid w:val="1CDE620C"/>
    <w:rsid w:val="1CF0419D"/>
    <w:rsid w:val="1CFE11FE"/>
    <w:rsid w:val="1CFF2027"/>
    <w:rsid w:val="1D0942E1"/>
    <w:rsid w:val="1D1C2053"/>
    <w:rsid w:val="1D1C31DC"/>
    <w:rsid w:val="1D510D73"/>
    <w:rsid w:val="1D5200CF"/>
    <w:rsid w:val="1D5C0754"/>
    <w:rsid w:val="1D60732A"/>
    <w:rsid w:val="1D644DCB"/>
    <w:rsid w:val="1D787AAC"/>
    <w:rsid w:val="1D7926B1"/>
    <w:rsid w:val="1D7E6439"/>
    <w:rsid w:val="1D832C83"/>
    <w:rsid w:val="1D8714D6"/>
    <w:rsid w:val="1D882C7D"/>
    <w:rsid w:val="1D8D2578"/>
    <w:rsid w:val="1D927D37"/>
    <w:rsid w:val="1D945789"/>
    <w:rsid w:val="1D9965E5"/>
    <w:rsid w:val="1DA97388"/>
    <w:rsid w:val="1DB068A7"/>
    <w:rsid w:val="1DB22284"/>
    <w:rsid w:val="1DC6268F"/>
    <w:rsid w:val="1DCA404F"/>
    <w:rsid w:val="1DE23574"/>
    <w:rsid w:val="1DF459F6"/>
    <w:rsid w:val="1DF46E69"/>
    <w:rsid w:val="1E163B59"/>
    <w:rsid w:val="1E17636A"/>
    <w:rsid w:val="1E1A1615"/>
    <w:rsid w:val="1E285893"/>
    <w:rsid w:val="1E2A322D"/>
    <w:rsid w:val="1E2B759E"/>
    <w:rsid w:val="1E36499F"/>
    <w:rsid w:val="1E3873F3"/>
    <w:rsid w:val="1E570E20"/>
    <w:rsid w:val="1E5C4EE7"/>
    <w:rsid w:val="1E723E35"/>
    <w:rsid w:val="1E9A758B"/>
    <w:rsid w:val="1EA7785D"/>
    <w:rsid w:val="1EBE60A0"/>
    <w:rsid w:val="1EBF0C52"/>
    <w:rsid w:val="1EC034AF"/>
    <w:rsid w:val="1ECA6B72"/>
    <w:rsid w:val="1EEE0DF0"/>
    <w:rsid w:val="1EF239CF"/>
    <w:rsid w:val="1F0109AD"/>
    <w:rsid w:val="1F016658"/>
    <w:rsid w:val="1F1A6140"/>
    <w:rsid w:val="1F1D5664"/>
    <w:rsid w:val="1F313FC3"/>
    <w:rsid w:val="1F3479B4"/>
    <w:rsid w:val="1F37344C"/>
    <w:rsid w:val="1F4B5CAA"/>
    <w:rsid w:val="1F4E1B33"/>
    <w:rsid w:val="1F75494E"/>
    <w:rsid w:val="1F7A597A"/>
    <w:rsid w:val="1F81549F"/>
    <w:rsid w:val="1F8D1910"/>
    <w:rsid w:val="1FA03F1D"/>
    <w:rsid w:val="1FA35623"/>
    <w:rsid w:val="1FAC01D1"/>
    <w:rsid w:val="1FAD07A4"/>
    <w:rsid w:val="1FC2537B"/>
    <w:rsid w:val="1FEE3E88"/>
    <w:rsid w:val="1FFF2229"/>
    <w:rsid w:val="202918F7"/>
    <w:rsid w:val="202B684C"/>
    <w:rsid w:val="2032147D"/>
    <w:rsid w:val="20327216"/>
    <w:rsid w:val="203414A5"/>
    <w:rsid w:val="203B78A7"/>
    <w:rsid w:val="204E20FE"/>
    <w:rsid w:val="206003B5"/>
    <w:rsid w:val="206402D5"/>
    <w:rsid w:val="2082388C"/>
    <w:rsid w:val="20875014"/>
    <w:rsid w:val="20A81B4C"/>
    <w:rsid w:val="20AD602D"/>
    <w:rsid w:val="20BC47F3"/>
    <w:rsid w:val="20BD14E4"/>
    <w:rsid w:val="20C47539"/>
    <w:rsid w:val="20CA041C"/>
    <w:rsid w:val="20DF1CCC"/>
    <w:rsid w:val="20E10063"/>
    <w:rsid w:val="20E63F73"/>
    <w:rsid w:val="21037A0F"/>
    <w:rsid w:val="21077C02"/>
    <w:rsid w:val="21133A02"/>
    <w:rsid w:val="21157C8D"/>
    <w:rsid w:val="2119190D"/>
    <w:rsid w:val="21207115"/>
    <w:rsid w:val="21213010"/>
    <w:rsid w:val="21286E03"/>
    <w:rsid w:val="2147459E"/>
    <w:rsid w:val="214A5A04"/>
    <w:rsid w:val="214C46E4"/>
    <w:rsid w:val="217931F9"/>
    <w:rsid w:val="217E32B6"/>
    <w:rsid w:val="21851B72"/>
    <w:rsid w:val="21991F8D"/>
    <w:rsid w:val="219B4F1B"/>
    <w:rsid w:val="21A070CD"/>
    <w:rsid w:val="21A83A49"/>
    <w:rsid w:val="21B03229"/>
    <w:rsid w:val="21B14F59"/>
    <w:rsid w:val="21B76939"/>
    <w:rsid w:val="21C17D51"/>
    <w:rsid w:val="21CC5865"/>
    <w:rsid w:val="21D40609"/>
    <w:rsid w:val="21DA3812"/>
    <w:rsid w:val="21E31ECA"/>
    <w:rsid w:val="21EB4C05"/>
    <w:rsid w:val="21ED2505"/>
    <w:rsid w:val="22022412"/>
    <w:rsid w:val="221B28B1"/>
    <w:rsid w:val="22253D06"/>
    <w:rsid w:val="223B3BFC"/>
    <w:rsid w:val="22400206"/>
    <w:rsid w:val="224F1E77"/>
    <w:rsid w:val="22514E5A"/>
    <w:rsid w:val="22563B75"/>
    <w:rsid w:val="225B1E06"/>
    <w:rsid w:val="226667AB"/>
    <w:rsid w:val="228011D2"/>
    <w:rsid w:val="229A1841"/>
    <w:rsid w:val="229E5FCD"/>
    <w:rsid w:val="22C03918"/>
    <w:rsid w:val="22C7395F"/>
    <w:rsid w:val="22CE44C3"/>
    <w:rsid w:val="22D80568"/>
    <w:rsid w:val="22D85F9B"/>
    <w:rsid w:val="22F17B79"/>
    <w:rsid w:val="22F2102C"/>
    <w:rsid w:val="22FA7103"/>
    <w:rsid w:val="23011088"/>
    <w:rsid w:val="23034696"/>
    <w:rsid w:val="2325051D"/>
    <w:rsid w:val="232848FB"/>
    <w:rsid w:val="2353553B"/>
    <w:rsid w:val="235B5875"/>
    <w:rsid w:val="235E416B"/>
    <w:rsid w:val="2362159E"/>
    <w:rsid w:val="23762786"/>
    <w:rsid w:val="237F4F6B"/>
    <w:rsid w:val="2387690B"/>
    <w:rsid w:val="238A1DF2"/>
    <w:rsid w:val="23A857BC"/>
    <w:rsid w:val="23AC5B95"/>
    <w:rsid w:val="23AD4263"/>
    <w:rsid w:val="23C0288B"/>
    <w:rsid w:val="23C30ABE"/>
    <w:rsid w:val="23CE45D8"/>
    <w:rsid w:val="23DE330F"/>
    <w:rsid w:val="23F0014B"/>
    <w:rsid w:val="23F359BC"/>
    <w:rsid w:val="23F47DE7"/>
    <w:rsid w:val="240B5F1F"/>
    <w:rsid w:val="241A199B"/>
    <w:rsid w:val="241D2EC3"/>
    <w:rsid w:val="243636F3"/>
    <w:rsid w:val="244D34FF"/>
    <w:rsid w:val="24633939"/>
    <w:rsid w:val="246A5D1F"/>
    <w:rsid w:val="24724239"/>
    <w:rsid w:val="24905541"/>
    <w:rsid w:val="24935357"/>
    <w:rsid w:val="24B446B4"/>
    <w:rsid w:val="24CF6939"/>
    <w:rsid w:val="24D70B21"/>
    <w:rsid w:val="24DD70E0"/>
    <w:rsid w:val="24DF09F3"/>
    <w:rsid w:val="24EA1608"/>
    <w:rsid w:val="24EC4C77"/>
    <w:rsid w:val="24F267AA"/>
    <w:rsid w:val="24F31814"/>
    <w:rsid w:val="250B1E77"/>
    <w:rsid w:val="25137031"/>
    <w:rsid w:val="2516758B"/>
    <w:rsid w:val="25580548"/>
    <w:rsid w:val="2561232E"/>
    <w:rsid w:val="256E7E3A"/>
    <w:rsid w:val="25772D3F"/>
    <w:rsid w:val="257F42F8"/>
    <w:rsid w:val="25A60CE9"/>
    <w:rsid w:val="25A61A6B"/>
    <w:rsid w:val="25C3753C"/>
    <w:rsid w:val="25CD5018"/>
    <w:rsid w:val="25D72C93"/>
    <w:rsid w:val="25DB5C1F"/>
    <w:rsid w:val="25E9370B"/>
    <w:rsid w:val="25F95E50"/>
    <w:rsid w:val="25FE23E4"/>
    <w:rsid w:val="26053C85"/>
    <w:rsid w:val="260B46EE"/>
    <w:rsid w:val="260C2097"/>
    <w:rsid w:val="2613193F"/>
    <w:rsid w:val="26150910"/>
    <w:rsid w:val="264461AD"/>
    <w:rsid w:val="264668DF"/>
    <w:rsid w:val="264D6FAA"/>
    <w:rsid w:val="2654489C"/>
    <w:rsid w:val="265A379E"/>
    <w:rsid w:val="266A58FD"/>
    <w:rsid w:val="2670188C"/>
    <w:rsid w:val="26880D86"/>
    <w:rsid w:val="268E3683"/>
    <w:rsid w:val="269369FA"/>
    <w:rsid w:val="26944DC4"/>
    <w:rsid w:val="269E011C"/>
    <w:rsid w:val="26A2659F"/>
    <w:rsid w:val="26A61792"/>
    <w:rsid w:val="26B04CEB"/>
    <w:rsid w:val="26BC6BFE"/>
    <w:rsid w:val="26C10153"/>
    <w:rsid w:val="26CC56FE"/>
    <w:rsid w:val="26D1318B"/>
    <w:rsid w:val="26D164C8"/>
    <w:rsid w:val="26D17DCD"/>
    <w:rsid w:val="26D70F6C"/>
    <w:rsid w:val="26F76AB1"/>
    <w:rsid w:val="26FF4936"/>
    <w:rsid w:val="2701622A"/>
    <w:rsid w:val="27202A71"/>
    <w:rsid w:val="27217C0F"/>
    <w:rsid w:val="272C5D93"/>
    <w:rsid w:val="273B7B35"/>
    <w:rsid w:val="27425C14"/>
    <w:rsid w:val="275912A8"/>
    <w:rsid w:val="276B15F7"/>
    <w:rsid w:val="27711E5C"/>
    <w:rsid w:val="27752FE3"/>
    <w:rsid w:val="27796894"/>
    <w:rsid w:val="277E5140"/>
    <w:rsid w:val="27907554"/>
    <w:rsid w:val="27986628"/>
    <w:rsid w:val="279D50DE"/>
    <w:rsid w:val="27AB77CC"/>
    <w:rsid w:val="27AF321D"/>
    <w:rsid w:val="27BA6AD6"/>
    <w:rsid w:val="27D850D6"/>
    <w:rsid w:val="27DA247E"/>
    <w:rsid w:val="27ED2584"/>
    <w:rsid w:val="27F01735"/>
    <w:rsid w:val="27F03E6D"/>
    <w:rsid w:val="27FF02EB"/>
    <w:rsid w:val="27FF3382"/>
    <w:rsid w:val="280A3BEB"/>
    <w:rsid w:val="280E3C90"/>
    <w:rsid w:val="28162FFD"/>
    <w:rsid w:val="281D649C"/>
    <w:rsid w:val="28373B91"/>
    <w:rsid w:val="283E7727"/>
    <w:rsid w:val="283F446A"/>
    <w:rsid w:val="28405047"/>
    <w:rsid w:val="285167FE"/>
    <w:rsid w:val="285E0266"/>
    <w:rsid w:val="285E16E7"/>
    <w:rsid w:val="28625A29"/>
    <w:rsid w:val="28894ADB"/>
    <w:rsid w:val="289262FB"/>
    <w:rsid w:val="28933DE7"/>
    <w:rsid w:val="28957ECB"/>
    <w:rsid w:val="28965789"/>
    <w:rsid w:val="289D7915"/>
    <w:rsid w:val="28A42E0E"/>
    <w:rsid w:val="28AA7930"/>
    <w:rsid w:val="28B56D2E"/>
    <w:rsid w:val="28CD4629"/>
    <w:rsid w:val="28D3069C"/>
    <w:rsid w:val="28DD31BF"/>
    <w:rsid w:val="28E04550"/>
    <w:rsid w:val="28EE20A4"/>
    <w:rsid w:val="28F26968"/>
    <w:rsid w:val="28F96299"/>
    <w:rsid w:val="29192F0D"/>
    <w:rsid w:val="29224A47"/>
    <w:rsid w:val="292366C8"/>
    <w:rsid w:val="292B6BDB"/>
    <w:rsid w:val="29326FC3"/>
    <w:rsid w:val="2940552A"/>
    <w:rsid w:val="294D58D9"/>
    <w:rsid w:val="295150A4"/>
    <w:rsid w:val="29617C7D"/>
    <w:rsid w:val="29617E2E"/>
    <w:rsid w:val="29697940"/>
    <w:rsid w:val="297F4D9A"/>
    <w:rsid w:val="29824260"/>
    <w:rsid w:val="299079E5"/>
    <w:rsid w:val="29947C82"/>
    <w:rsid w:val="29987D23"/>
    <w:rsid w:val="299B2739"/>
    <w:rsid w:val="299B6A97"/>
    <w:rsid w:val="29BA5A4B"/>
    <w:rsid w:val="29C127C1"/>
    <w:rsid w:val="29C37D0D"/>
    <w:rsid w:val="29D71743"/>
    <w:rsid w:val="29DD7445"/>
    <w:rsid w:val="29FC6428"/>
    <w:rsid w:val="2A002D9A"/>
    <w:rsid w:val="2A1A5C11"/>
    <w:rsid w:val="2A1C4D55"/>
    <w:rsid w:val="2A280CB0"/>
    <w:rsid w:val="2A34553E"/>
    <w:rsid w:val="2A39236E"/>
    <w:rsid w:val="2A447A1C"/>
    <w:rsid w:val="2A4713FD"/>
    <w:rsid w:val="2A476D52"/>
    <w:rsid w:val="2A5067E1"/>
    <w:rsid w:val="2A8374C8"/>
    <w:rsid w:val="2A8B73A5"/>
    <w:rsid w:val="2AB71A63"/>
    <w:rsid w:val="2ABB268F"/>
    <w:rsid w:val="2AC0467F"/>
    <w:rsid w:val="2AC30F4F"/>
    <w:rsid w:val="2ADC150E"/>
    <w:rsid w:val="2AE4716E"/>
    <w:rsid w:val="2AEA1936"/>
    <w:rsid w:val="2AF63320"/>
    <w:rsid w:val="2AFE7CEB"/>
    <w:rsid w:val="2B1C0F8F"/>
    <w:rsid w:val="2B28656A"/>
    <w:rsid w:val="2B2D5D2D"/>
    <w:rsid w:val="2B347937"/>
    <w:rsid w:val="2B420153"/>
    <w:rsid w:val="2B44462C"/>
    <w:rsid w:val="2B4C585F"/>
    <w:rsid w:val="2B596FA5"/>
    <w:rsid w:val="2B664BC3"/>
    <w:rsid w:val="2B6C2685"/>
    <w:rsid w:val="2B77118E"/>
    <w:rsid w:val="2B8B43C2"/>
    <w:rsid w:val="2B9C37C0"/>
    <w:rsid w:val="2BA72033"/>
    <w:rsid w:val="2BA9679B"/>
    <w:rsid w:val="2BB51225"/>
    <w:rsid w:val="2BBB7851"/>
    <w:rsid w:val="2BBD5EEB"/>
    <w:rsid w:val="2BCD63E2"/>
    <w:rsid w:val="2BD47F84"/>
    <w:rsid w:val="2BE00526"/>
    <w:rsid w:val="2C0A61E6"/>
    <w:rsid w:val="2C0D54D8"/>
    <w:rsid w:val="2C342BAF"/>
    <w:rsid w:val="2C402B2D"/>
    <w:rsid w:val="2C687304"/>
    <w:rsid w:val="2C6A38CF"/>
    <w:rsid w:val="2C885F55"/>
    <w:rsid w:val="2C8E6103"/>
    <w:rsid w:val="2CA42254"/>
    <w:rsid w:val="2CA905AF"/>
    <w:rsid w:val="2CE61CF4"/>
    <w:rsid w:val="2CFE2388"/>
    <w:rsid w:val="2D0248CC"/>
    <w:rsid w:val="2D0301C2"/>
    <w:rsid w:val="2D0C4218"/>
    <w:rsid w:val="2D102927"/>
    <w:rsid w:val="2D2150BE"/>
    <w:rsid w:val="2D2816AE"/>
    <w:rsid w:val="2D295315"/>
    <w:rsid w:val="2D320E96"/>
    <w:rsid w:val="2D3F7B77"/>
    <w:rsid w:val="2D435A98"/>
    <w:rsid w:val="2D472484"/>
    <w:rsid w:val="2D5D1598"/>
    <w:rsid w:val="2D636961"/>
    <w:rsid w:val="2D6C3C7C"/>
    <w:rsid w:val="2D780749"/>
    <w:rsid w:val="2D79388A"/>
    <w:rsid w:val="2D814196"/>
    <w:rsid w:val="2D8D0FEF"/>
    <w:rsid w:val="2D8D7C58"/>
    <w:rsid w:val="2D96294B"/>
    <w:rsid w:val="2DB87AFB"/>
    <w:rsid w:val="2DC07372"/>
    <w:rsid w:val="2DC51309"/>
    <w:rsid w:val="2DDB29E4"/>
    <w:rsid w:val="2DDD153A"/>
    <w:rsid w:val="2DDE2CF9"/>
    <w:rsid w:val="2DEA73E6"/>
    <w:rsid w:val="2DF333A3"/>
    <w:rsid w:val="2DFC3A12"/>
    <w:rsid w:val="2DFC7DBD"/>
    <w:rsid w:val="2E1324CC"/>
    <w:rsid w:val="2E1A1D01"/>
    <w:rsid w:val="2E2E555E"/>
    <w:rsid w:val="2E317A5A"/>
    <w:rsid w:val="2E325A66"/>
    <w:rsid w:val="2E48019C"/>
    <w:rsid w:val="2E5056AF"/>
    <w:rsid w:val="2E5737CA"/>
    <w:rsid w:val="2E7772AE"/>
    <w:rsid w:val="2E807C2F"/>
    <w:rsid w:val="2E883E1E"/>
    <w:rsid w:val="2E9123DD"/>
    <w:rsid w:val="2E980538"/>
    <w:rsid w:val="2EA002E2"/>
    <w:rsid w:val="2EAE16EA"/>
    <w:rsid w:val="2EBD476B"/>
    <w:rsid w:val="2EC31D56"/>
    <w:rsid w:val="2ECD696B"/>
    <w:rsid w:val="2ED862CF"/>
    <w:rsid w:val="2EE05051"/>
    <w:rsid w:val="2EF1185F"/>
    <w:rsid w:val="2EFB5E71"/>
    <w:rsid w:val="2F094356"/>
    <w:rsid w:val="2F14763D"/>
    <w:rsid w:val="2F1C705A"/>
    <w:rsid w:val="2F245C7C"/>
    <w:rsid w:val="2F515DF8"/>
    <w:rsid w:val="2F6D52D6"/>
    <w:rsid w:val="2F792581"/>
    <w:rsid w:val="2F7D5A22"/>
    <w:rsid w:val="2F8979C5"/>
    <w:rsid w:val="2F9C3C35"/>
    <w:rsid w:val="2FA61547"/>
    <w:rsid w:val="2FCB1895"/>
    <w:rsid w:val="2FDD11BE"/>
    <w:rsid w:val="2FE333A8"/>
    <w:rsid w:val="2FE54A79"/>
    <w:rsid w:val="2FEA60E3"/>
    <w:rsid w:val="2FF119E8"/>
    <w:rsid w:val="30001AD9"/>
    <w:rsid w:val="30041FBE"/>
    <w:rsid w:val="30324736"/>
    <w:rsid w:val="30347B0A"/>
    <w:rsid w:val="303C3C2E"/>
    <w:rsid w:val="303C7377"/>
    <w:rsid w:val="30440754"/>
    <w:rsid w:val="305610E2"/>
    <w:rsid w:val="305A2041"/>
    <w:rsid w:val="305A4AB4"/>
    <w:rsid w:val="306427F2"/>
    <w:rsid w:val="306433FB"/>
    <w:rsid w:val="3073583C"/>
    <w:rsid w:val="307D315A"/>
    <w:rsid w:val="307F6A4D"/>
    <w:rsid w:val="308306D7"/>
    <w:rsid w:val="3087091C"/>
    <w:rsid w:val="308C7B72"/>
    <w:rsid w:val="30980EAC"/>
    <w:rsid w:val="30A84344"/>
    <w:rsid w:val="30A863D7"/>
    <w:rsid w:val="30A92ADD"/>
    <w:rsid w:val="30C25F1C"/>
    <w:rsid w:val="30CD5AB7"/>
    <w:rsid w:val="30DD46A9"/>
    <w:rsid w:val="30ED0FCF"/>
    <w:rsid w:val="30F43156"/>
    <w:rsid w:val="30F645FB"/>
    <w:rsid w:val="31082D7C"/>
    <w:rsid w:val="31095A56"/>
    <w:rsid w:val="311E7127"/>
    <w:rsid w:val="31210A4D"/>
    <w:rsid w:val="31322CEA"/>
    <w:rsid w:val="313C7E86"/>
    <w:rsid w:val="314656B9"/>
    <w:rsid w:val="315D7ABF"/>
    <w:rsid w:val="31621AE5"/>
    <w:rsid w:val="31721FF1"/>
    <w:rsid w:val="31874305"/>
    <w:rsid w:val="31AE578E"/>
    <w:rsid w:val="31BB29A3"/>
    <w:rsid w:val="31BC299D"/>
    <w:rsid w:val="31C760B9"/>
    <w:rsid w:val="31D65D89"/>
    <w:rsid w:val="31EE78D5"/>
    <w:rsid w:val="31F2035E"/>
    <w:rsid w:val="31F837EB"/>
    <w:rsid w:val="320C29F7"/>
    <w:rsid w:val="32277CA3"/>
    <w:rsid w:val="32303E19"/>
    <w:rsid w:val="32375ECD"/>
    <w:rsid w:val="32393A58"/>
    <w:rsid w:val="323B227D"/>
    <w:rsid w:val="32604A81"/>
    <w:rsid w:val="326C7886"/>
    <w:rsid w:val="32711B1C"/>
    <w:rsid w:val="32750E4B"/>
    <w:rsid w:val="32757429"/>
    <w:rsid w:val="327877A5"/>
    <w:rsid w:val="327B7C2D"/>
    <w:rsid w:val="327F169B"/>
    <w:rsid w:val="3284297C"/>
    <w:rsid w:val="32963D8C"/>
    <w:rsid w:val="329F17FC"/>
    <w:rsid w:val="32A82E99"/>
    <w:rsid w:val="32AF71AD"/>
    <w:rsid w:val="32BF0C14"/>
    <w:rsid w:val="32CF2E98"/>
    <w:rsid w:val="32DD2936"/>
    <w:rsid w:val="32E00271"/>
    <w:rsid w:val="32F93A68"/>
    <w:rsid w:val="32FB439C"/>
    <w:rsid w:val="331C62C9"/>
    <w:rsid w:val="332C074F"/>
    <w:rsid w:val="33311E03"/>
    <w:rsid w:val="3337429C"/>
    <w:rsid w:val="334F7903"/>
    <w:rsid w:val="3350554F"/>
    <w:rsid w:val="3366134F"/>
    <w:rsid w:val="336E024E"/>
    <w:rsid w:val="339B4C98"/>
    <w:rsid w:val="33AB100B"/>
    <w:rsid w:val="33B21D9D"/>
    <w:rsid w:val="33C733F5"/>
    <w:rsid w:val="33CE0824"/>
    <w:rsid w:val="33DF45AE"/>
    <w:rsid w:val="33E0672B"/>
    <w:rsid w:val="33E55220"/>
    <w:rsid w:val="33FA0608"/>
    <w:rsid w:val="34293D14"/>
    <w:rsid w:val="342B4684"/>
    <w:rsid w:val="342D39F9"/>
    <w:rsid w:val="34304F91"/>
    <w:rsid w:val="343E5E9E"/>
    <w:rsid w:val="3442153A"/>
    <w:rsid w:val="345F18F9"/>
    <w:rsid w:val="345F6D3B"/>
    <w:rsid w:val="347F1815"/>
    <w:rsid w:val="3484658F"/>
    <w:rsid w:val="34877113"/>
    <w:rsid w:val="348D05D5"/>
    <w:rsid w:val="34A04AD2"/>
    <w:rsid w:val="34B361B4"/>
    <w:rsid w:val="34B56C34"/>
    <w:rsid w:val="34C20479"/>
    <w:rsid w:val="34C223F7"/>
    <w:rsid w:val="34C26058"/>
    <w:rsid w:val="34C46FFA"/>
    <w:rsid w:val="34D54049"/>
    <w:rsid w:val="34DC046C"/>
    <w:rsid w:val="34E63076"/>
    <w:rsid w:val="34EA27A4"/>
    <w:rsid w:val="34F75B22"/>
    <w:rsid w:val="35050260"/>
    <w:rsid w:val="35385CA0"/>
    <w:rsid w:val="3541147B"/>
    <w:rsid w:val="355D4576"/>
    <w:rsid w:val="35660279"/>
    <w:rsid w:val="357E515E"/>
    <w:rsid w:val="358513D6"/>
    <w:rsid w:val="35A51445"/>
    <w:rsid w:val="35AC5B52"/>
    <w:rsid w:val="35B3196D"/>
    <w:rsid w:val="35CD58E3"/>
    <w:rsid w:val="35E97385"/>
    <w:rsid w:val="35FF2B2C"/>
    <w:rsid w:val="361B3E67"/>
    <w:rsid w:val="36220B6B"/>
    <w:rsid w:val="364410B0"/>
    <w:rsid w:val="3652298E"/>
    <w:rsid w:val="366D0E5F"/>
    <w:rsid w:val="367A33B4"/>
    <w:rsid w:val="368D61A3"/>
    <w:rsid w:val="369C29AC"/>
    <w:rsid w:val="36A66BAA"/>
    <w:rsid w:val="36B21D45"/>
    <w:rsid w:val="36CE603F"/>
    <w:rsid w:val="36E5689D"/>
    <w:rsid w:val="37002807"/>
    <w:rsid w:val="37106244"/>
    <w:rsid w:val="371508A1"/>
    <w:rsid w:val="371838FD"/>
    <w:rsid w:val="37191363"/>
    <w:rsid w:val="37277CB9"/>
    <w:rsid w:val="37311E63"/>
    <w:rsid w:val="374A5BB5"/>
    <w:rsid w:val="374E0D7D"/>
    <w:rsid w:val="37577120"/>
    <w:rsid w:val="375C22A9"/>
    <w:rsid w:val="37825EC7"/>
    <w:rsid w:val="37873252"/>
    <w:rsid w:val="378E72C5"/>
    <w:rsid w:val="378F5FDF"/>
    <w:rsid w:val="37BC3CF1"/>
    <w:rsid w:val="37BD5C74"/>
    <w:rsid w:val="37CD482A"/>
    <w:rsid w:val="37D50BF8"/>
    <w:rsid w:val="37D953DE"/>
    <w:rsid w:val="37F2581E"/>
    <w:rsid w:val="382C7EAD"/>
    <w:rsid w:val="382D2B8D"/>
    <w:rsid w:val="38365C55"/>
    <w:rsid w:val="384309EC"/>
    <w:rsid w:val="38513640"/>
    <w:rsid w:val="386E7573"/>
    <w:rsid w:val="3883227E"/>
    <w:rsid w:val="389F7A76"/>
    <w:rsid w:val="38A475B2"/>
    <w:rsid w:val="38AC2313"/>
    <w:rsid w:val="38BA655D"/>
    <w:rsid w:val="38C842AE"/>
    <w:rsid w:val="38CE3AF2"/>
    <w:rsid w:val="38D03370"/>
    <w:rsid w:val="38D467F6"/>
    <w:rsid w:val="38E263C5"/>
    <w:rsid w:val="38E653A7"/>
    <w:rsid w:val="38E74A5D"/>
    <w:rsid w:val="38ED7723"/>
    <w:rsid w:val="390459A7"/>
    <w:rsid w:val="39140E21"/>
    <w:rsid w:val="39186550"/>
    <w:rsid w:val="39342761"/>
    <w:rsid w:val="39357228"/>
    <w:rsid w:val="393F27FF"/>
    <w:rsid w:val="395A5A0E"/>
    <w:rsid w:val="397875AA"/>
    <w:rsid w:val="397D341E"/>
    <w:rsid w:val="39814BC5"/>
    <w:rsid w:val="39815E27"/>
    <w:rsid w:val="39826504"/>
    <w:rsid w:val="398E37D6"/>
    <w:rsid w:val="39914EA8"/>
    <w:rsid w:val="399C235C"/>
    <w:rsid w:val="39B47F5B"/>
    <w:rsid w:val="39C0011D"/>
    <w:rsid w:val="39D565C7"/>
    <w:rsid w:val="39D91164"/>
    <w:rsid w:val="39E14A1E"/>
    <w:rsid w:val="39E65453"/>
    <w:rsid w:val="39FB32F8"/>
    <w:rsid w:val="39FC731E"/>
    <w:rsid w:val="3A0B3F20"/>
    <w:rsid w:val="3A5A25BD"/>
    <w:rsid w:val="3AA01D5D"/>
    <w:rsid w:val="3AA23446"/>
    <w:rsid w:val="3AA8172E"/>
    <w:rsid w:val="3AC6040A"/>
    <w:rsid w:val="3AC84417"/>
    <w:rsid w:val="3ACB5276"/>
    <w:rsid w:val="3AD56FC0"/>
    <w:rsid w:val="3ADC747F"/>
    <w:rsid w:val="3AE12F64"/>
    <w:rsid w:val="3AE5288F"/>
    <w:rsid w:val="3AEA528A"/>
    <w:rsid w:val="3AEC7583"/>
    <w:rsid w:val="3B0A7C0D"/>
    <w:rsid w:val="3B155D19"/>
    <w:rsid w:val="3B185FB4"/>
    <w:rsid w:val="3B25529C"/>
    <w:rsid w:val="3B397A8A"/>
    <w:rsid w:val="3B3B5DCD"/>
    <w:rsid w:val="3B474BC8"/>
    <w:rsid w:val="3B5313C4"/>
    <w:rsid w:val="3B571655"/>
    <w:rsid w:val="3B590835"/>
    <w:rsid w:val="3B6602F9"/>
    <w:rsid w:val="3B9150A5"/>
    <w:rsid w:val="3B925298"/>
    <w:rsid w:val="3B9A61A3"/>
    <w:rsid w:val="3BBD5C2A"/>
    <w:rsid w:val="3C0B5391"/>
    <w:rsid w:val="3C1A0A9E"/>
    <w:rsid w:val="3C1C6789"/>
    <w:rsid w:val="3C272926"/>
    <w:rsid w:val="3C2D2586"/>
    <w:rsid w:val="3C3A2BAB"/>
    <w:rsid w:val="3C43548F"/>
    <w:rsid w:val="3C4C0484"/>
    <w:rsid w:val="3C510E27"/>
    <w:rsid w:val="3C533488"/>
    <w:rsid w:val="3C546520"/>
    <w:rsid w:val="3C6200C2"/>
    <w:rsid w:val="3C701CEA"/>
    <w:rsid w:val="3C74072E"/>
    <w:rsid w:val="3C80777C"/>
    <w:rsid w:val="3C822CA0"/>
    <w:rsid w:val="3C8C0AC6"/>
    <w:rsid w:val="3C923D34"/>
    <w:rsid w:val="3C9C5301"/>
    <w:rsid w:val="3CA94602"/>
    <w:rsid w:val="3CDC4866"/>
    <w:rsid w:val="3CFF5886"/>
    <w:rsid w:val="3D154C62"/>
    <w:rsid w:val="3D1D44E7"/>
    <w:rsid w:val="3D257509"/>
    <w:rsid w:val="3D3014C1"/>
    <w:rsid w:val="3D31628E"/>
    <w:rsid w:val="3D5E39DC"/>
    <w:rsid w:val="3D613418"/>
    <w:rsid w:val="3D886994"/>
    <w:rsid w:val="3D886A12"/>
    <w:rsid w:val="3D890003"/>
    <w:rsid w:val="3D8A5ECF"/>
    <w:rsid w:val="3D8B3F30"/>
    <w:rsid w:val="3D9B5105"/>
    <w:rsid w:val="3DAD79F1"/>
    <w:rsid w:val="3DCB4AE3"/>
    <w:rsid w:val="3E0D13E8"/>
    <w:rsid w:val="3E232BC4"/>
    <w:rsid w:val="3E2D7A63"/>
    <w:rsid w:val="3E3A28A4"/>
    <w:rsid w:val="3E4036F3"/>
    <w:rsid w:val="3E450119"/>
    <w:rsid w:val="3E485B41"/>
    <w:rsid w:val="3E4B43C7"/>
    <w:rsid w:val="3E4D21FC"/>
    <w:rsid w:val="3E7267D0"/>
    <w:rsid w:val="3E8A54D9"/>
    <w:rsid w:val="3E923144"/>
    <w:rsid w:val="3E974087"/>
    <w:rsid w:val="3E9839BB"/>
    <w:rsid w:val="3EA75093"/>
    <w:rsid w:val="3EA80335"/>
    <w:rsid w:val="3EA90A30"/>
    <w:rsid w:val="3EBD0EA5"/>
    <w:rsid w:val="3ECD05B5"/>
    <w:rsid w:val="3EDA516A"/>
    <w:rsid w:val="3EEA2C5D"/>
    <w:rsid w:val="3F0C06CA"/>
    <w:rsid w:val="3F151764"/>
    <w:rsid w:val="3F186441"/>
    <w:rsid w:val="3F2A2875"/>
    <w:rsid w:val="3F3A5805"/>
    <w:rsid w:val="3F3F1BFB"/>
    <w:rsid w:val="3F4A02A1"/>
    <w:rsid w:val="3F4C2F9A"/>
    <w:rsid w:val="3F523890"/>
    <w:rsid w:val="3F5E65C1"/>
    <w:rsid w:val="3F686F0F"/>
    <w:rsid w:val="3F750100"/>
    <w:rsid w:val="3F7B602D"/>
    <w:rsid w:val="3F945F5B"/>
    <w:rsid w:val="3F981CE1"/>
    <w:rsid w:val="3F9946D9"/>
    <w:rsid w:val="3F9B6954"/>
    <w:rsid w:val="3FA15181"/>
    <w:rsid w:val="3FA74197"/>
    <w:rsid w:val="3FBC53BF"/>
    <w:rsid w:val="3FBE748F"/>
    <w:rsid w:val="3FC011E8"/>
    <w:rsid w:val="3FE63091"/>
    <w:rsid w:val="3FEB21B6"/>
    <w:rsid w:val="3FF9049A"/>
    <w:rsid w:val="3FFA1A93"/>
    <w:rsid w:val="3FFB5983"/>
    <w:rsid w:val="3FFE6EBA"/>
    <w:rsid w:val="400F503D"/>
    <w:rsid w:val="40162432"/>
    <w:rsid w:val="402A0460"/>
    <w:rsid w:val="404327D0"/>
    <w:rsid w:val="404F795E"/>
    <w:rsid w:val="405A5BAF"/>
    <w:rsid w:val="406B462B"/>
    <w:rsid w:val="40787B9F"/>
    <w:rsid w:val="408319DD"/>
    <w:rsid w:val="40884CB8"/>
    <w:rsid w:val="408B22B1"/>
    <w:rsid w:val="408C297E"/>
    <w:rsid w:val="408D090B"/>
    <w:rsid w:val="408F6490"/>
    <w:rsid w:val="409162A9"/>
    <w:rsid w:val="409A1ACF"/>
    <w:rsid w:val="409A5A73"/>
    <w:rsid w:val="409B6D54"/>
    <w:rsid w:val="409E7210"/>
    <w:rsid w:val="40A02237"/>
    <w:rsid w:val="40B65F73"/>
    <w:rsid w:val="40BA126C"/>
    <w:rsid w:val="40D0241A"/>
    <w:rsid w:val="40DF61AC"/>
    <w:rsid w:val="40F144D3"/>
    <w:rsid w:val="410A4C85"/>
    <w:rsid w:val="41166DBB"/>
    <w:rsid w:val="41207624"/>
    <w:rsid w:val="413E6B56"/>
    <w:rsid w:val="4143684D"/>
    <w:rsid w:val="416F2AB5"/>
    <w:rsid w:val="41807F17"/>
    <w:rsid w:val="41872D94"/>
    <w:rsid w:val="4189379F"/>
    <w:rsid w:val="41903BD0"/>
    <w:rsid w:val="41981352"/>
    <w:rsid w:val="41B37671"/>
    <w:rsid w:val="41C45F88"/>
    <w:rsid w:val="41D33AEC"/>
    <w:rsid w:val="41D95A6E"/>
    <w:rsid w:val="41F60266"/>
    <w:rsid w:val="41F73B60"/>
    <w:rsid w:val="42170EC5"/>
    <w:rsid w:val="42176D29"/>
    <w:rsid w:val="421948CB"/>
    <w:rsid w:val="423333C0"/>
    <w:rsid w:val="423A49A4"/>
    <w:rsid w:val="424B5BBF"/>
    <w:rsid w:val="42557238"/>
    <w:rsid w:val="425B111A"/>
    <w:rsid w:val="426960DB"/>
    <w:rsid w:val="426A3A7C"/>
    <w:rsid w:val="426D5F9A"/>
    <w:rsid w:val="42767FF1"/>
    <w:rsid w:val="427A3E18"/>
    <w:rsid w:val="428D4BD1"/>
    <w:rsid w:val="42AA7FCF"/>
    <w:rsid w:val="42B07298"/>
    <w:rsid w:val="42B80A49"/>
    <w:rsid w:val="42B95D22"/>
    <w:rsid w:val="42BD587C"/>
    <w:rsid w:val="42C91BD9"/>
    <w:rsid w:val="430336B7"/>
    <w:rsid w:val="430B0242"/>
    <w:rsid w:val="43120122"/>
    <w:rsid w:val="431D1AD6"/>
    <w:rsid w:val="435131DF"/>
    <w:rsid w:val="435E6545"/>
    <w:rsid w:val="43622023"/>
    <w:rsid w:val="436E05FA"/>
    <w:rsid w:val="437C7A8F"/>
    <w:rsid w:val="43863A8E"/>
    <w:rsid w:val="438933F5"/>
    <w:rsid w:val="439A7FBA"/>
    <w:rsid w:val="43A659BB"/>
    <w:rsid w:val="43C3129E"/>
    <w:rsid w:val="43E00D23"/>
    <w:rsid w:val="43E437EA"/>
    <w:rsid w:val="43E924FE"/>
    <w:rsid w:val="43FE653D"/>
    <w:rsid w:val="44076B69"/>
    <w:rsid w:val="44094DC7"/>
    <w:rsid w:val="440E5291"/>
    <w:rsid w:val="441571AE"/>
    <w:rsid w:val="44235CC9"/>
    <w:rsid w:val="442403E3"/>
    <w:rsid w:val="4424320F"/>
    <w:rsid w:val="4435681F"/>
    <w:rsid w:val="44396CC4"/>
    <w:rsid w:val="443E0474"/>
    <w:rsid w:val="44575E13"/>
    <w:rsid w:val="445A0F4E"/>
    <w:rsid w:val="44627AE4"/>
    <w:rsid w:val="4469479C"/>
    <w:rsid w:val="446E2F18"/>
    <w:rsid w:val="44783B68"/>
    <w:rsid w:val="44A34F99"/>
    <w:rsid w:val="44D62FDC"/>
    <w:rsid w:val="44EC1374"/>
    <w:rsid w:val="44EE37BC"/>
    <w:rsid w:val="44FC100E"/>
    <w:rsid w:val="45043E3D"/>
    <w:rsid w:val="450B71DF"/>
    <w:rsid w:val="451C4CF3"/>
    <w:rsid w:val="452110D9"/>
    <w:rsid w:val="45245FE6"/>
    <w:rsid w:val="452744F9"/>
    <w:rsid w:val="45417EA3"/>
    <w:rsid w:val="4546029F"/>
    <w:rsid w:val="454D1FB8"/>
    <w:rsid w:val="455D7631"/>
    <w:rsid w:val="45621F7C"/>
    <w:rsid w:val="45662F03"/>
    <w:rsid w:val="45745CB3"/>
    <w:rsid w:val="457C2AF5"/>
    <w:rsid w:val="4581283E"/>
    <w:rsid w:val="45A24A3D"/>
    <w:rsid w:val="45A817B6"/>
    <w:rsid w:val="45B13309"/>
    <w:rsid w:val="45C70DED"/>
    <w:rsid w:val="45D77001"/>
    <w:rsid w:val="45D8239A"/>
    <w:rsid w:val="45DC7D89"/>
    <w:rsid w:val="45DF142F"/>
    <w:rsid w:val="45E45C3C"/>
    <w:rsid w:val="45EC3422"/>
    <w:rsid w:val="45F31142"/>
    <w:rsid w:val="45FF537E"/>
    <w:rsid w:val="462E27FC"/>
    <w:rsid w:val="4633656B"/>
    <w:rsid w:val="46362A10"/>
    <w:rsid w:val="464527AE"/>
    <w:rsid w:val="464D28B9"/>
    <w:rsid w:val="464E44F5"/>
    <w:rsid w:val="46897258"/>
    <w:rsid w:val="468E5C7D"/>
    <w:rsid w:val="46A64704"/>
    <w:rsid w:val="46BB48B0"/>
    <w:rsid w:val="46C06ADE"/>
    <w:rsid w:val="46C53CC9"/>
    <w:rsid w:val="46CC59BC"/>
    <w:rsid w:val="4703156B"/>
    <w:rsid w:val="47032102"/>
    <w:rsid w:val="47042336"/>
    <w:rsid w:val="470575A2"/>
    <w:rsid w:val="472129AA"/>
    <w:rsid w:val="4723317C"/>
    <w:rsid w:val="47286A75"/>
    <w:rsid w:val="473508DD"/>
    <w:rsid w:val="473800FB"/>
    <w:rsid w:val="474E6828"/>
    <w:rsid w:val="474F26B6"/>
    <w:rsid w:val="47550D43"/>
    <w:rsid w:val="476F1D40"/>
    <w:rsid w:val="477C2671"/>
    <w:rsid w:val="478B1659"/>
    <w:rsid w:val="47A87BAE"/>
    <w:rsid w:val="47B80596"/>
    <w:rsid w:val="47C147CA"/>
    <w:rsid w:val="47C7591B"/>
    <w:rsid w:val="47D370F8"/>
    <w:rsid w:val="47E21767"/>
    <w:rsid w:val="47E56F93"/>
    <w:rsid w:val="47F054C0"/>
    <w:rsid w:val="47F65904"/>
    <w:rsid w:val="47F745D3"/>
    <w:rsid w:val="47F94E56"/>
    <w:rsid w:val="47FF5635"/>
    <w:rsid w:val="482E4289"/>
    <w:rsid w:val="483A0B60"/>
    <w:rsid w:val="483E75DB"/>
    <w:rsid w:val="485328EF"/>
    <w:rsid w:val="485E34A0"/>
    <w:rsid w:val="486542CF"/>
    <w:rsid w:val="4868740B"/>
    <w:rsid w:val="486F787E"/>
    <w:rsid w:val="48821579"/>
    <w:rsid w:val="48877875"/>
    <w:rsid w:val="488E49BD"/>
    <w:rsid w:val="48A02640"/>
    <w:rsid w:val="48A17595"/>
    <w:rsid w:val="48AE014E"/>
    <w:rsid w:val="48B852A5"/>
    <w:rsid w:val="48BA2886"/>
    <w:rsid w:val="48C80343"/>
    <w:rsid w:val="48CC64CB"/>
    <w:rsid w:val="48CC7A22"/>
    <w:rsid w:val="49062A37"/>
    <w:rsid w:val="49104E80"/>
    <w:rsid w:val="491C6430"/>
    <w:rsid w:val="49203F9B"/>
    <w:rsid w:val="49220BE9"/>
    <w:rsid w:val="493C73BD"/>
    <w:rsid w:val="4952757E"/>
    <w:rsid w:val="495445BE"/>
    <w:rsid w:val="49756043"/>
    <w:rsid w:val="499656CB"/>
    <w:rsid w:val="499D1C73"/>
    <w:rsid w:val="49C936EE"/>
    <w:rsid w:val="49C94136"/>
    <w:rsid w:val="49CF0A80"/>
    <w:rsid w:val="49FD3FBC"/>
    <w:rsid w:val="49FE1748"/>
    <w:rsid w:val="4A052777"/>
    <w:rsid w:val="4A16692E"/>
    <w:rsid w:val="4A1A478C"/>
    <w:rsid w:val="4A1B295B"/>
    <w:rsid w:val="4A295DD0"/>
    <w:rsid w:val="4A2B6918"/>
    <w:rsid w:val="4A34295B"/>
    <w:rsid w:val="4A4B3DA3"/>
    <w:rsid w:val="4A4C513F"/>
    <w:rsid w:val="4A503684"/>
    <w:rsid w:val="4A672A7C"/>
    <w:rsid w:val="4A6B1CF3"/>
    <w:rsid w:val="4A6E68F7"/>
    <w:rsid w:val="4A7267C6"/>
    <w:rsid w:val="4A7F6634"/>
    <w:rsid w:val="4A874832"/>
    <w:rsid w:val="4A87644F"/>
    <w:rsid w:val="4A880068"/>
    <w:rsid w:val="4A904967"/>
    <w:rsid w:val="4A946F8A"/>
    <w:rsid w:val="4A9F37D2"/>
    <w:rsid w:val="4AB97C37"/>
    <w:rsid w:val="4ACB43A5"/>
    <w:rsid w:val="4AD25AE4"/>
    <w:rsid w:val="4AD93985"/>
    <w:rsid w:val="4ADA4ACA"/>
    <w:rsid w:val="4AE34E2F"/>
    <w:rsid w:val="4AEA064F"/>
    <w:rsid w:val="4AEA3010"/>
    <w:rsid w:val="4AEC7B84"/>
    <w:rsid w:val="4B0C09E8"/>
    <w:rsid w:val="4B2C76A9"/>
    <w:rsid w:val="4B417E53"/>
    <w:rsid w:val="4B4429FB"/>
    <w:rsid w:val="4B5071F8"/>
    <w:rsid w:val="4B5C74A6"/>
    <w:rsid w:val="4B5F08BC"/>
    <w:rsid w:val="4B691536"/>
    <w:rsid w:val="4B693AC3"/>
    <w:rsid w:val="4B716F56"/>
    <w:rsid w:val="4B7963AB"/>
    <w:rsid w:val="4B895609"/>
    <w:rsid w:val="4B907624"/>
    <w:rsid w:val="4BA71FF9"/>
    <w:rsid w:val="4BB029EC"/>
    <w:rsid w:val="4BB8374F"/>
    <w:rsid w:val="4BC45E12"/>
    <w:rsid w:val="4BC84C98"/>
    <w:rsid w:val="4BCD628C"/>
    <w:rsid w:val="4BD846BF"/>
    <w:rsid w:val="4BE0169C"/>
    <w:rsid w:val="4BE15965"/>
    <w:rsid w:val="4BEB1E65"/>
    <w:rsid w:val="4BEE2CDC"/>
    <w:rsid w:val="4BF029AE"/>
    <w:rsid w:val="4BF36A46"/>
    <w:rsid w:val="4C095AFC"/>
    <w:rsid w:val="4C2416C7"/>
    <w:rsid w:val="4C266353"/>
    <w:rsid w:val="4C49001C"/>
    <w:rsid w:val="4C5875A3"/>
    <w:rsid w:val="4C6C1C64"/>
    <w:rsid w:val="4C6D4B5B"/>
    <w:rsid w:val="4CA32529"/>
    <w:rsid w:val="4CAE236C"/>
    <w:rsid w:val="4CB128F7"/>
    <w:rsid w:val="4CB772ED"/>
    <w:rsid w:val="4CBE21B2"/>
    <w:rsid w:val="4CCA65ED"/>
    <w:rsid w:val="4CD05CE0"/>
    <w:rsid w:val="4CD232B1"/>
    <w:rsid w:val="4CDE50F3"/>
    <w:rsid w:val="4CE0737A"/>
    <w:rsid w:val="4CE1088D"/>
    <w:rsid w:val="4CE36EC9"/>
    <w:rsid w:val="4CE81146"/>
    <w:rsid w:val="4CEB3650"/>
    <w:rsid w:val="4CEC5C29"/>
    <w:rsid w:val="4CEC7B11"/>
    <w:rsid w:val="4D097064"/>
    <w:rsid w:val="4D0C5C36"/>
    <w:rsid w:val="4D196BDE"/>
    <w:rsid w:val="4D365515"/>
    <w:rsid w:val="4D3D09B4"/>
    <w:rsid w:val="4D64059E"/>
    <w:rsid w:val="4D85490A"/>
    <w:rsid w:val="4DA87C61"/>
    <w:rsid w:val="4DC07A29"/>
    <w:rsid w:val="4DC77E63"/>
    <w:rsid w:val="4DCD4EE8"/>
    <w:rsid w:val="4DCF6E24"/>
    <w:rsid w:val="4DDB4AD9"/>
    <w:rsid w:val="4DDF54D8"/>
    <w:rsid w:val="4DE3300D"/>
    <w:rsid w:val="4DE777D9"/>
    <w:rsid w:val="4DEE442B"/>
    <w:rsid w:val="4DFB0FB3"/>
    <w:rsid w:val="4E1D509B"/>
    <w:rsid w:val="4E2A6A94"/>
    <w:rsid w:val="4E32358E"/>
    <w:rsid w:val="4E4432DA"/>
    <w:rsid w:val="4E500985"/>
    <w:rsid w:val="4E536625"/>
    <w:rsid w:val="4E626848"/>
    <w:rsid w:val="4E6C29F8"/>
    <w:rsid w:val="4E72113E"/>
    <w:rsid w:val="4E7778B5"/>
    <w:rsid w:val="4E7B6123"/>
    <w:rsid w:val="4E7E304A"/>
    <w:rsid w:val="4E8747EF"/>
    <w:rsid w:val="4E9924F2"/>
    <w:rsid w:val="4E997FBF"/>
    <w:rsid w:val="4E9A2AEC"/>
    <w:rsid w:val="4E9B4DB0"/>
    <w:rsid w:val="4EA568C0"/>
    <w:rsid w:val="4EB2716D"/>
    <w:rsid w:val="4EBB37CA"/>
    <w:rsid w:val="4EC32085"/>
    <w:rsid w:val="4ECB6A8B"/>
    <w:rsid w:val="4EE37F3A"/>
    <w:rsid w:val="4EEF406F"/>
    <w:rsid w:val="4EF0528C"/>
    <w:rsid w:val="4F1F14EC"/>
    <w:rsid w:val="4F251A42"/>
    <w:rsid w:val="4F2565B7"/>
    <w:rsid w:val="4F3C5CF8"/>
    <w:rsid w:val="4F3D46D1"/>
    <w:rsid w:val="4F3D4AEC"/>
    <w:rsid w:val="4F40314F"/>
    <w:rsid w:val="4F5431DF"/>
    <w:rsid w:val="4F652050"/>
    <w:rsid w:val="4F66142A"/>
    <w:rsid w:val="4F667C6A"/>
    <w:rsid w:val="4F746D6F"/>
    <w:rsid w:val="4F776017"/>
    <w:rsid w:val="4F7C3F2C"/>
    <w:rsid w:val="4F9C75B5"/>
    <w:rsid w:val="4F9F77FE"/>
    <w:rsid w:val="4FA809E0"/>
    <w:rsid w:val="4FAA5D88"/>
    <w:rsid w:val="4FB15A2F"/>
    <w:rsid w:val="4FBB578B"/>
    <w:rsid w:val="4FBB5CEA"/>
    <w:rsid w:val="4FE93B3B"/>
    <w:rsid w:val="4FF04119"/>
    <w:rsid w:val="5000377A"/>
    <w:rsid w:val="500B2F93"/>
    <w:rsid w:val="501A3518"/>
    <w:rsid w:val="501D034D"/>
    <w:rsid w:val="502B2DEC"/>
    <w:rsid w:val="502E6532"/>
    <w:rsid w:val="50321878"/>
    <w:rsid w:val="503655BE"/>
    <w:rsid w:val="503926B8"/>
    <w:rsid w:val="50453753"/>
    <w:rsid w:val="5046272E"/>
    <w:rsid w:val="505D0378"/>
    <w:rsid w:val="507225BA"/>
    <w:rsid w:val="5083013F"/>
    <w:rsid w:val="50895D81"/>
    <w:rsid w:val="508D177C"/>
    <w:rsid w:val="50A648B0"/>
    <w:rsid w:val="50B509CB"/>
    <w:rsid w:val="50BE38B5"/>
    <w:rsid w:val="50C02332"/>
    <w:rsid w:val="50C54D2F"/>
    <w:rsid w:val="50CA0EC5"/>
    <w:rsid w:val="50CE7284"/>
    <w:rsid w:val="50D64D38"/>
    <w:rsid w:val="50F250CE"/>
    <w:rsid w:val="50F47EE5"/>
    <w:rsid w:val="51064A8B"/>
    <w:rsid w:val="510D46F2"/>
    <w:rsid w:val="51125751"/>
    <w:rsid w:val="51323A97"/>
    <w:rsid w:val="513B1AE3"/>
    <w:rsid w:val="513C4289"/>
    <w:rsid w:val="513D6E84"/>
    <w:rsid w:val="51611EB3"/>
    <w:rsid w:val="5164412F"/>
    <w:rsid w:val="516C4082"/>
    <w:rsid w:val="5179390D"/>
    <w:rsid w:val="51807A51"/>
    <w:rsid w:val="51A611F8"/>
    <w:rsid w:val="51AE0888"/>
    <w:rsid w:val="51C60221"/>
    <w:rsid w:val="51D5093D"/>
    <w:rsid w:val="51FF0622"/>
    <w:rsid w:val="52047D06"/>
    <w:rsid w:val="52053090"/>
    <w:rsid w:val="52153351"/>
    <w:rsid w:val="522856FE"/>
    <w:rsid w:val="522A4E57"/>
    <w:rsid w:val="522B2B4E"/>
    <w:rsid w:val="52324868"/>
    <w:rsid w:val="523E775C"/>
    <w:rsid w:val="52483FEC"/>
    <w:rsid w:val="52707AE1"/>
    <w:rsid w:val="528E4421"/>
    <w:rsid w:val="529847E8"/>
    <w:rsid w:val="52AA32BF"/>
    <w:rsid w:val="52B86F17"/>
    <w:rsid w:val="52BD1E43"/>
    <w:rsid w:val="52BD66EB"/>
    <w:rsid w:val="52D02FB9"/>
    <w:rsid w:val="52D55BB6"/>
    <w:rsid w:val="52DA2117"/>
    <w:rsid w:val="52F06E28"/>
    <w:rsid w:val="52F36006"/>
    <w:rsid w:val="52F75D81"/>
    <w:rsid w:val="530729A9"/>
    <w:rsid w:val="530F05AF"/>
    <w:rsid w:val="53243984"/>
    <w:rsid w:val="53284048"/>
    <w:rsid w:val="533319AB"/>
    <w:rsid w:val="53430277"/>
    <w:rsid w:val="53432E24"/>
    <w:rsid w:val="534A4974"/>
    <w:rsid w:val="535077B9"/>
    <w:rsid w:val="535418F2"/>
    <w:rsid w:val="53553A62"/>
    <w:rsid w:val="53590D93"/>
    <w:rsid w:val="53615EE9"/>
    <w:rsid w:val="536625AF"/>
    <w:rsid w:val="5367468E"/>
    <w:rsid w:val="53735990"/>
    <w:rsid w:val="5374419A"/>
    <w:rsid w:val="53AC62A7"/>
    <w:rsid w:val="53BA5023"/>
    <w:rsid w:val="53D41C64"/>
    <w:rsid w:val="53DD1495"/>
    <w:rsid w:val="53EF2984"/>
    <w:rsid w:val="53FC0655"/>
    <w:rsid w:val="54112DCB"/>
    <w:rsid w:val="5417789B"/>
    <w:rsid w:val="54345647"/>
    <w:rsid w:val="54580482"/>
    <w:rsid w:val="54682BAC"/>
    <w:rsid w:val="54701E21"/>
    <w:rsid w:val="5487715B"/>
    <w:rsid w:val="54977844"/>
    <w:rsid w:val="54A875E2"/>
    <w:rsid w:val="54B22EF9"/>
    <w:rsid w:val="54B56100"/>
    <w:rsid w:val="54B86B0F"/>
    <w:rsid w:val="54BA73C2"/>
    <w:rsid w:val="54BC6030"/>
    <w:rsid w:val="54DF49F5"/>
    <w:rsid w:val="54E07E6B"/>
    <w:rsid w:val="54E17524"/>
    <w:rsid w:val="54E538C2"/>
    <w:rsid w:val="54F12E63"/>
    <w:rsid w:val="55172B9A"/>
    <w:rsid w:val="551C6227"/>
    <w:rsid w:val="551F26B7"/>
    <w:rsid w:val="55270EC9"/>
    <w:rsid w:val="55275C54"/>
    <w:rsid w:val="552850B5"/>
    <w:rsid w:val="553D690F"/>
    <w:rsid w:val="55551903"/>
    <w:rsid w:val="555A4B39"/>
    <w:rsid w:val="555B30DA"/>
    <w:rsid w:val="55647DD7"/>
    <w:rsid w:val="55696A66"/>
    <w:rsid w:val="556E3609"/>
    <w:rsid w:val="557039B4"/>
    <w:rsid w:val="557853AC"/>
    <w:rsid w:val="557C162E"/>
    <w:rsid w:val="55820029"/>
    <w:rsid w:val="558429E0"/>
    <w:rsid w:val="5586021E"/>
    <w:rsid w:val="55955511"/>
    <w:rsid w:val="559753D5"/>
    <w:rsid w:val="559F0788"/>
    <w:rsid w:val="55B321DC"/>
    <w:rsid w:val="55D90D49"/>
    <w:rsid w:val="55DE5F5E"/>
    <w:rsid w:val="55E00FC7"/>
    <w:rsid w:val="55E26833"/>
    <w:rsid w:val="55FB78C8"/>
    <w:rsid w:val="560C3BA8"/>
    <w:rsid w:val="56187F91"/>
    <w:rsid w:val="56320FF5"/>
    <w:rsid w:val="56347886"/>
    <w:rsid w:val="56390C55"/>
    <w:rsid w:val="564E4056"/>
    <w:rsid w:val="56527A71"/>
    <w:rsid w:val="56527AA5"/>
    <w:rsid w:val="565E5EBA"/>
    <w:rsid w:val="56756A1A"/>
    <w:rsid w:val="56906471"/>
    <w:rsid w:val="56923523"/>
    <w:rsid w:val="569771D5"/>
    <w:rsid w:val="56A04162"/>
    <w:rsid w:val="56A274DA"/>
    <w:rsid w:val="56BA5ED7"/>
    <w:rsid w:val="56C10EEA"/>
    <w:rsid w:val="56C10FDD"/>
    <w:rsid w:val="56C61BD7"/>
    <w:rsid w:val="56C85E46"/>
    <w:rsid w:val="56C97B54"/>
    <w:rsid w:val="56D45500"/>
    <w:rsid w:val="56E03F07"/>
    <w:rsid w:val="56E32934"/>
    <w:rsid w:val="56F81898"/>
    <w:rsid w:val="570921C8"/>
    <w:rsid w:val="570E0A99"/>
    <w:rsid w:val="57212C63"/>
    <w:rsid w:val="57276543"/>
    <w:rsid w:val="574212D4"/>
    <w:rsid w:val="575F1B3F"/>
    <w:rsid w:val="57660724"/>
    <w:rsid w:val="576745F8"/>
    <w:rsid w:val="57731556"/>
    <w:rsid w:val="577C76F1"/>
    <w:rsid w:val="578377E1"/>
    <w:rsid w:val="57982570"/>
    <w:rsid w:val="579E2700"/>
    <w:rsid w:val="57B46C46"/>
    <w:rsid w:val="57B72325"/>
    <w:rsid w:val="57C05AD6"/>
    <w:rsid w:val="57D13585"/>
    <w:rsid w:val="57E33519"/>
    <w:rsid w:val="57EC1B19"/>
    <w:rsid w:val="57F25465"/>
    <w:rsid w:val="57F7485F"/>
    <w:rsid w:val="580766BE"/>
    <w:rsid w:val="580F40E1"/>
    <w:rsid w:val="58113EB6"/>
    <w:rsid w:val="58391C8F"/>
    <w:rsid w:val="58416034"/>
    <w:rsid w:val="5852031C"/>
    <w:rsid w:val="58615DFB"/>
    <w:rsid w:val="58692F10"/>
    <w:rsid w:val="586A1890"/>
    <w:rsid w:val="58755E55"/>
    <w:rsid w:val="58771AB3"/>
    <w:rsid w:val="589A71AD"/>
    <w:rsid w:val="58CF2F54"/>
    <w:rsid w:val="58DA2849"/>
    <w:rsid w:val="58DB4F92"/>
    <w:rsid w:val="58DD3DEE"/>
    <w:rsid w:val="58F22FBC"/>
    <w:rsid w:val="59075A0F"/>
    <w:rsid w:val="59143FAC"/>
    <w:rsid w:val="592172D8"/>
    <w:rsid w:val="592558F3"/>
    <w:rsid w:val="59332B19"/>
    <w:rsid w:val="59491DF8"/>
    <w:rsid w:val="59646E30"/>
    <w:rsid w:val="596C65B2"/>
    <w:rsid w:val="598544BB"/>
    <w:rsid w:val="59870438"/>
    <w:rsid w:val="598E5ABB"/>
    <w:rsid w:val="598F3EBA"/>
    <w:rsid w:val="59A25445"/>
    <w:rsid w:val="59B70446"/>
    <w:rsid w:val="59B86819"/>
    <w:rsid w:val="59C235EE"/>
    <w:rsid w:val="59E53AF4"/>
    <w:rsid w:val="59F03821"/>
    <w:rsid w:val="59F21933"/>
    <w:rsid w:val="5A016260"/>
    <w:rsid w:val="5A080462"/>
    <w:rsid w:val="5A157D43"/>
    <w:rsid w:val="5A1E71B9"/>
    <w:rsid w:val="5A22192F"/>
    <w:rsid w:val="5A34269A"/>
    <w:rsid w:val="5A58457C"/>
    <w:rsid w:val="5A643A92"/>
    <w:rsid w:val="5A7B2DD3"/>
    <w:rsid w:val="5A883497"/>
    <w:rsid w:val="5A9B6976"/>
    <w:rsid w:val="5AA049DB"/>
    <w:rsid w:val="5AA12868"/>
    <w:rsid w:val="5AA35E63"/>
    <w:rsid w:val="5AC67F84"/>
    <w:rsid w:val="5AD33AC5"/>
    <w:rsid w:val="5AD908A6"/>
    <w:rsid w:val="5AE10107"/>
    <w:rsid w:val="5B016F92"/>
    <w:rsid w:val="5B0F0EDA"/>
    <w:rsid w:val="5B2D5437"/>
    <w:rsid w:val="5B393E61"/>
    <w:rsid w:val="5B5065BD"/>
    <w:rsid w:val="5B6B1984"/>
    <w:rsid w:val="5B71052E"/>
    <w:rsid w:val="5B8352B7"/>
    <w:rsid w:val="5B9F21B0"/>
    <w:rsid w:val="5BB355C4"/>
    <w:rsid w:val="5BBA29FA"/>
    <w:rsid w:val="5BBB269B"/>
    <w:rsid w:val="5BC4402F"/>
    <w:rsid w:val="5BC92779"/>
    <w:rsid w:val="5BD523D3"/>
    <w:rsid w:val="5BDE0159"/>
    <w:rsid w:val="5BE82016"/>
    <w:rsid w:val="5BF12064"/>
    <w:rsid w:val="5BF1772C"/>
    <w:rsid w:val="5BF51824"/>
    <w:rsid w:val="5BFB30CB"/>
    <w:rsid w:val="5C000B18"/>
    <w:rsid w:val="5C091DC9"/>
    <w:rsid w:val="5C0E298F"/>
    <w:rsid w:val="5C1B63ED"/>
    <w:rsid w:val="5C351A5F"/>
    <w:rsid w:val="5C352090"/>
    <w:rsid w:val="5C432354"/>
    <w:rsid w:val="5C4B6238"/>
    <w:rsid w:val="5C507D64"/>
    <w:rsid w:val="5C636FD7"/>
    <w:rsid w:val="5C707BAE"/>
    <w:rsid w:val="5C7D3706"/>
    <w:rsid w:val="5C8D7BB4"/>
    <w:rsid w:val="5C9D643B"/>
    <w:rsid w:val="5CD11B3C"/>
    <w:rsid w:val="5CD42EA8"/>
    <w:rsid w:val="5CE661AF"/>
    <w:rsid w:val="5CF23682"/>
    <w:rsid w:val="5D0273AF"/>
    <w:rsid w:val="5D0C6F3A"/>
    <w:rsid w:val="5D1045EA"/>
    <w:rsid w:val="5D2A3B84"/>
    <w:rsid w:val="5D375837"/>
    <w:rsid w:val="5D4D2899"/>
    <w:rsid w:val="5D4D2F4B"/>
    <w:rsid w:val="5D54199E"/>
    <w:rsid w:val="5D5514DE"/>
    <w:rsid w:val="5D7178E8"/>
    <w:rsid w:val="5D7924BD"/>
    <w:rsid w:val="5D7E6057"/>
    <w:rsid w:val="5D8A0374"/>
    <w:rsid w:val="5D9C63A2"/>
    <w:rsid w:val="5DB93429"/>
    <w:rsid w:val="5DBA1BB4"/>
    <w:rsid w:val="5DC576EC"/>
    <w:rsid w:val="5DD300BD"/>
    <w:rsid w:val="5DD836F7"/>
    <w:rsid w:val="5DF46748"/>
    <w:rsid w:val="5DF8553A"/>
    <w:rsid w:val="5E0140BA"/>
    <w:rsid w:val="5E1A7750"/>
    <w:rsid w:val="5E423A9F"/>
    <w:rsid w:val="5E561019"/>
    <w:rsid w:val="5E632002"/>
    <w:rsid w:val="5E760A72"/>
    <w:rsid w:val="5E7C365A"/>
    <w:rsid w:val="5E8D09A3"/>
    <w:rsid w:val="5E90169F"/>
    <w:rsid w:val="5E9E0782"/>
    <w:rsid w:val="5EA11EF3"/>
    <w:rsid w:val="5EA95ABA"/>
    <w:rsid w:val="5EBC0AEB"/>
    <w:rsid w:val="5ED258FE"/>
    <w:rsid w:val="5ED3628E"/>
    <w:rsid w:val="5ED9429A"/>
    <w:rsid w:val="5EDE2190"/>
    <w:rsid w:val="5EE4361B"/>
    <w:rsid w:val="5EE457F2"/>
    <w:rsid w:val="5F0F66CB"/>
    <w:rsid w:val="5F2146CB"/>
    <w:rsid w:val="5F251941"/>
    <w:rsid w:val="5F251C25"/>
    <w:rsid w:val="5F323138"/>
    <w:rsid w:val="5F370494"/>
    <w:rsid w:val="5F3E1FF7"/>
    <w:rsid w:val="5F3F5FA2"/>
    <w:rsid w:val="5F460901"/>
    <w:rsid w:val="5F4C5965"/>
    <w:rsid w:val="5F595E0F"/>
    <w:rsid w:val="5F6B5B0B"/>
    <w:rsid w:val="5F817E7B"/>
    <w:rsid w:val="5F87169E"/>
    <w:rsid w:val="5F8D68EB"/>
    <w:rsid w:val="5F8E72B8"/>
    <w:rsid w:val="5F974E6C"/>
    <w:rsid w:val="5FA04B53"/>
    <w:rsid w:val="5FA74D3D"/>
    <w:rsid w:val="5FAD4382"/>
    <w:rsid w:val="5FB343F0"/>
    <w:rsid w:val="5FB465C2"/>
    <w:rsid w:val="5FE535E9"/>
    <w:rsid w:val="5FF12A94"/>
    <w:rsid w:val="5FFB5ED3"/>
    <w:rsid w:val="600E076F"/>
    <w:rsid w:val="604E6FE8"/>
    <w:rsid w:val="60550A89"/>
    <w:rsid w:val="60597AC0"/>
    <w:rsid w:val="606D7352"/>
    <w:rsid w:val="60922EDC"/>
    <w:rsid w:val="60965D1D"/>
    <w:rsid w:val="60AA0537"/>
    <w:rsid w:val="60B34280"/>
    <w:rsid w:val="60B52BA1"/>
    <w:rsid w:val="60CB6FAE"/>
    <w:rsid w:val="60DB1518"/>
    <w:rsid w:val="60E503F1"/>
    <w:rsid w:val="60E651DB"/>
    <w:rsid w:val="60E951C1"/>
    <w:rsid w:val="60F60E8F"/>
    <w:rsid w:val="610D0BEB"/>
    <w:rsid w:val="611A08A7"/>
    <w:rsid w:val="611B1543"/>
    <w:rsid w:val="612703AD"/>
    <w:rsid w:val="6130722C"/>
    <w:rsid w:val="61327D3B"/>
    <w:rsid w:val="613438ED"/>
    <w:rsid w:val="613F5A87"/>
    <w:rsid w:val="61490C25"/>
    <w:rsid w:val="615F7484"/>
    <w:rsid w:val="6161427D"/>
    <w:rsid w:val="61864D73"/>
    <w:rsid w:val="61AB4C37"/>
    <w:rsid w:val="61AE2D3F"/>
    <w:rsid w:val="61DB7918"/>
    <w:rsid w:val="61E905F0"/>
    <w:rsid w:val="61EE1942"/>
    <w:rsid w:val="61F01012"/>
    <w:rsid w:val="61F21E11"/>
    <w:rsid w:val="61FB3147"/>
    <w:rsid w:val="61FD016A"/>
    <w:rsid w:val="621215E9"/>
    <w:rsid w:val="621B5C84"/>
    <w:rsid w:val="622D4858"/>
    <w:rsid w:val="62347618"/>
    <w:rsid w:val="623A4F95"/>
    <w:rsid w:val="6247537C"/>
    <w:rsid w:val="62507ECD"/>
    <w:rsid w:val="625E17A9"/>
    <w:rsid w:val="626D7B78"/>
    <w:rsid w:val="627361FB"/>
    <w:rsid w:val="627A4FF6"/>
    <w:rsid w:val="628247DF"/>
    <w:rsid w:val="628B50EB"/>
    <w:rsid w:val="628B6CFC"/>
    <w:rsid w:val="629F3C0F"/>
    <w:rsid w:val="629F5ADC"/>
    <w:rsid w:val="62B15D06"/>
    <w:rsid w:val="62B25E92"/>
    <w:rsid w:val="62BD6011"/>
    <w:rsid w:val="62CF1ADB"/>
    <w:rsid w:val="62F34242"/>
    <w:rsid w:val="62F60CE1"/>
    <w:rsid w:val="631E6796"/>
    <w:rsid w:val="63206543"/>
    <w:rsid w:val="63270DC0"/>
    <w:rsid w:val="6327656B"/>
    <w:rsid w:val="633E7A9A"/>
    <w:rsid w:val="63405DDC"/>
    <w:rsid w:val="6353276F"/>
    <w:rsid w:val="635A0FE3"/>
    <w:rsid w:val="63691377"/>
    <w:rsid w:val="637A173C"/>
    <w:rsid w:val="63862B4A"/>
    <w:rsid w:val="639D6BB3"/>
    <w:rsid w:val="63AD50B7"/>
    <w:rsid w:val="63B001A6"/>
    <w:rsid w:val="63B81A7D"/>
    <w:rsid w:val="63C90451"/>
    <w:rsid w:val="63D612E9"/>
    <w:rsid w:val="63D62AF3"/>
    <w:rsid w:val="63DD4AEB"/>
    <w:rsid w:val="64042764"/>
    <w:rsid w:val="6405127E"/>
    <w:rsid w:val="640512F2"/>
    <w:rsid w:val="640B316E"/>
    <w:rsid w:val="640D5A7E"/>
    <w:rsid w:val="641036D3"/>
    <w:rsid w:val="64125CA3"/>
    <w:rsid w:val="641455BA"/>
    <w:rsid w:val="641D4A10"/>
    <w:rsid w:val="6431351E"/>
    <w:rsid w:val="64362E43"/>
    <w:rsid w:val="6437167C"/>
    <w:rsid w:val="64385A0F"/>
    <w:rsid w:val="64605082"/>
    <w:rsid w:val="64632B46"/>
    <w:rsid w:val="6479002A"/>
    <w:rsid w:val="647D6A41"/>
    <w:rsid w:val="64822254"/>
    <w:rsid w:val="6487292A"/>
    <w:rsid w:val="648E5254"/>
    <w:rsid w:val="64905EC5"/>
    <w:rsid w:val="64972302"/>
    <w:rsid w:val="64A155C5"/>
    <w:rsid w:val="64AD0FA9"/>
    <w:rsid w:val="64DA3AE2"/>
    <w:rsid w:val="64E52EBC"/>
    <w:rsid w:val="64E6336B"/>
    <w:rsid w:val="64E83862"/>
    <w:rsid w:val="64E846DE"/>
    <w:rsid w:val="64E940CE"/>
    <w:rsid w:val="64EA7F3D"/>
    <w:rsid w:val="65092075"/>
    <w:rsid w:val="651140E0"/>
    <w:rsid w:val="653218F1"/>
    <w:rsid w:val="654F5B63"/>
    <w:rsid w:val="6550716F"/>
    <w:rsid w:val="656266F0"/>
    <w:rsid w:val="6578520E"/>
    <w:rsid w:val="658A795C"/>
    <w:rsid w:val="65905534"/>
    <w:rsid w:val="65A00B03"/>
    <w:rsid w:val="65BA05EC"/>
    <w:rsid w:val="65C545EF"/>
    <w:rsid w:val="65C82135"/>
    <w:rsid w:val="65CF08D4"/>
    <w:rsid w:val="65DC57FA"/>
    <w:rsid w:val="65EC16D1"/>
    <w:rsid w:val="65EF473F"/>
    <w:rsid w:val="65F66E6B"/>
    <w:rsid w:val="660113E2"/>
    <w:rsid w:val="6601402E"/>
    <w:rsid w:val="66017F9A"/>
    <w:rsid w:val="6605159B"/>
    <w:rsid w:val="660A67B2"/>
    <w:rsid w:val="660D6178"/>
    <w:rsid w:val="66117293"/>
    <w:rsid w:val="66125C97"/>
    <w:rsid w:val="662275BC"/>
    <w:rsid w:val="662C00D3"/>
    <w:rsid w:val="66303F20"/>
    <w:rsid w:val="66313EDF"/>
    <w:rsid w:val="663D67BE"/>
    <w:rsid w:val="6644251C"/>
    <w:rsid w:val="664D2841"/>
    <w:rsid w:val="66555C16"/>
    <w:rsid w:val="665C409C"/>
    <w:rsid w:val="66635019"/>
    <w:rsid w:val="666356EA"/>
    <w:rsid w:val="666A2536"/>
    <w:rsid w:val="666D72DE"/>
    <w:rsid w:val="668207B7"/>
    <w:rsid w:val="668346F5"/>
    <w:rsid w:val="66AB3625"/>
    <w:rsid w:val="66BE4593"/>
    <w:rsid w:val="66C419DA"/>
    <w:rsid w:val="66CA4AD3"/>
    <w:rsid w:val="66D77226"/>
    <w:rsid w:val="66DB599B"/>
    <w:rsid w:val="66DB5A32"/>
    <w:rsid w:val="66EC7D5C"/>
    <w:rsid w:val="67060456"/>
    <w:rsid w:val="6709759A"/>
    <w:rsid w:val="670C1B34"/>
    <w:rsid w:val="67146258"/>
    <w:rsid w:val="671C7020"/>
    <w:rsid w:val="673D02D1"/>
    <w:rsid w:val="675424A3"/>
    <w:rsid w:val="675B122C"/>
    <w:rsid w:val="676A7C1E"/>
    <w:rsid w:val="677A6DC5"/>
    <w:rsid w:val="677B573F"/>
    <w:rsid w:val="677E6FDD"/>
    <w:rsid w:val="677F5084"/>
    <w:rsid w:val="67822637"/>
    <w:rsid w:val="67887264"/>
    <w:rsid w:val="678C703E"/>
    <w:rsid w:val="67901FB0"/>
    <w:rsid w:val="67953283"/>
    <w:rsid w:val="67B20F1A"/>
    <w:rsid w:val="67B22274"/>
    <w:rsid w:val="67B629E1"/>
    <w:rsid w:val="67D64A87"/>
    <w:rsid w:val="67F06410"/>
    <w:rsid w:val="67FF6969"/>
    <w:rsid w:val="681024FA"/>
    <w:rsid w:val="682308A8"/>
    <w:rsid w:val="684A0EFE"/>
    <w:rsid w:val="685067F6"/>
    <w:rsid w:val="68510040"/>
    <w:rsid w:val="6879204E"/>
    <w:rsid w:val="687A78D1"/>
    <w:rsid w:val="688236FF"/>
    <w:rsid w:val="68881955"/>
    <w:rsid w:val="68895C6B"/>
    <w:rsid w:val="68921206"/>
    <w:rsid w:val="689E2264"/>
    <w:rsid w:val="68A1359B"/>
    <w:rsid w:val="68A407C5"/>
    <w:rsid w:val="68BB0FFA"/>
    <w:rsid w:val="68DA6C95"/>
    <w:rsid w:val="68DD219C"/>
    <w:rsid w:val="68E53AE9"/>
    <w:rsid w:val="68FB09FE"/>
    <w:rsid w:val="69224B77"/>
    <w:rsid w:val="69297C6A"/>
    <w:rsid w:val="694D41F5"/>
    <w:rsid w:val="695758A4"/>
    <w:rsid w:val="696513B2"/>
    <w:rsid w:val="69682F65"/>
    <w:rsid w:val="696B5BE0"/>
    <w:rsid w:val="69807A7A"/>
    <w:rsid w:val="698A0A71"/>
    <w:rsid w:val="699E02F3"/>
    <w:rsid w:val="69A041EF"/>
    <w:rsid w:val="69A4440B"/>
    <w:rsid w:val="69BC1392"/>
    <w:rsid w:val="69BE4A51"/>
    <w:rsid w:val="69CA47D7"/>
    <w:rsid w:val="69CD01ED"/>
    <w:rsid w:val="69E37422"/>
    <w:rsid w:val="6A0E2410"/>
    <w:rsid w:val="6A1424E4"/>
    <w:rsid w:val="6A24767B"/>
    <w:rsid w:val="6A3659AB"/>
    <w:rsid w:val="6A385D45"/>
    <w:rsid w:val="6A470B50"/>
    <w:rsid w:val="6A4D7603"/>
    <w:rsid w:val="6A55423F"/>
    <w:rsid w:val="6A675194"/>
    <w:rsid w:val="6A724F0A"/>
    <w:rsid w:val="6A7E371F"/>
    <w:rsid w:val="6A7F0453"/>
    <w:rsid w:val="6A81427E"/>
    <w:rsid w:val="6A903A66"/>
    <w:rsid w:val="6A9736F0"/>
    <w:rsid w:val="6ABF4AA0"/>
    <w:rsid w:val="6ACC5228"/>
    <w:rsid w:val="6AD42381"/>
    <w:rsid w:val="6AD46B97"/>
    <w:rsid w:val="6AE37F46"/>
    <w:rsid w:val="6AEF0586"/>
    <w:rsid w:val="6AF713B1"/>
    <w:rsid w:val="6AFB5572"/>
    <w:rsid w:val="6AFE68DB"/>
    <w:rsid w:val="6B12051E"/>
    <w:rsid w:val="6B19738E"/>
    <w:rsid w:val="6B307096"/>
    <w:rsid w:val="6B31479D"/>
    <w:rsid w:val="6B405DD9"/>
    <w:rsid w:val="6B48280D"/>
    <w:rsid w:val="6B645467"/>
    <w:rsid w:val="6B6814B7"/>
    <w:rsid w:val="6B6952C0"/>
    <w:rsid w:val="6B7844AA"/>
    <w:rsid w:val="6B834663"/>
    <w:rsid w:val="6B8F2BB8"/>
    <w:rsid w:val="6B914956"/>
    <w:rsid w:val="6B964470"/>
    <w:rsid w:val="6BA03D35"/>
    <w:rsid w:val="6BC7685E"/>
    <w:rsid w:val="6BC97E90"/>
    <w:rsid w:val="6BCA543A"/>
    <w:rsid w:val="6BCF30BA"/>
    <w:rsid w:val="6BEC342F"/>
    <w:rsid w:val="6C0E450A"/>
    <w:rsid w:val="6C13008B"/>
    <w:rsid w:val="6C1D00C9"/>
    <w:rsid w:val="6C26659E"/>
    <w:rsid w:val="6C4473E8"/>
    <w:rsid w:val="6C7144CF"/>
    <w:rsid w:val="6C800DA3"/>
    <w:rsid w:val="6C8F74C8"/>
    <w:rsid w:val="6CA445D7"/>
    <w:rsid w:val="6CAA44B3"/>
    <w:rsid w:val="6CAD12A4"/>
    <w:rsid w:val="6CD60F37"/>
    <w:rsid w:val="6CD87E38"/>
    <w:rsid w:val="6CDD2B26"/>
    <w:rsid w:val="6CEA5A0F"/>
    <w:rsid w:val="6D0312AE"/>
    <w:rsid w:val="6D170CBB"/>
    <w:rsid w:val="6D2D3A00"/>
    <w:rsid w:val="6D2D41DA"/>
    <w:rsid w:val="6D4F05D1"/>
    <w:rsid w:val="6D71380C"/>
    <w:rsid w:val="6D8F3B86"/>
    <w:rsid w:val="6DB852E4"/>
    <w:rsid w:val="6DBC5058"/>
    <w:rsid w:val="6DD87DD9"/>
    <w:rsid w:val="6DE24C50"/>
    <w:rsid w:val="6DE31056"/>
    <w:rsid w:val="6DE76CC6"/>
    <w:rsid w:val="6DE9541D"/>
    <w:rsid w:val="6E1632DB"/>
    <w:rsid w:val="6E3660B1"/>
    <w:rsid w:val="6E387653"/>
    <w:rsid w:val="6E567027"/>
    <w:rsid w:val="6E5D04A8"/>
    <w:rsid w:val="6E5E115A"/>
    <w:rsid w:val="6E660CB0"/>
    <w:rsid w:val="6E670EE5"/>
    <w:rsid w:val="6E821408"/>
    <w:rsid w:val="6E952BC0"/>
    <w:rsid w:val="6E976644"/>
    <w:rsid w:val="6E9C5819"/>
    <w:rsid w:val="6EA07604"/>
    <w:rsid w:val="6EA73DC0"/>
    <w:rsid w:val="6EAD0ACB"/>
    <w:rsid w:val="6EAE593B"/>
    <w:rsid w:val="6EBA350C"/>
    <w:rsid w:val="6EC35C0C"/>
    <w:rsid w:val="6EF22FAE"/>
    <w:rsid w:val="6F177D1E"/>
    <w:rsid w:val="6F2752AC"/>
    <w:rsid w:val="6F344E28"/>
    <w:rsid w:val="6F36748F"/>
    <w:rsid w:val="6F4435D1"/>
    <w:rsid w:val="6F4F5E73"/>
    <w:rsid w:val="6F521C73"/>
    <w:rsid w:val="6F5433BA"/>
    <w:rsid w:val="6F6435B8"/>
    <w:rsid w:val="6F6805DD"/>
    <w:rsid w:val="6F6834B2"/>
    <w:rsid w:val="6F7D733B"/>
    <w:rsid w:val="6F7F576F"/>
    <w:rsid w:val="6F853984"/>
    <w:rsid w:val="6F960C91"/>
    <w:rsid w:val="6F9B0F85"/>
    <w:rsid w:val="6FAA41BE"/>
    <w:rsid w:val="6FAF71DE"/>
    <w:rsid w:val="6FD1549A"/>
    <w:rsid w:val="6FD56427"/>
    <w:rsid w:val="6FDA246E"/>
    <w:rsid w:val="6FEC41FA"/>
    <w:rsid w:val="6FF5373F"/>
    <w:rsid w:val="6FF96FDD"/>
    <w:rsid w:val="700701A1"/>
    <w:rsid w:val="70096B11"/>
    <w:rsid w:val="700E35A4"/>
    <w:rsid w:val="702B2DC7"/>
    <w:rsid w:val="70366E4B"/>
    <w:rsid w:val="703B6D8B"/>
    <w:rsid w:val="704F5CE5"/>
    <w:rsid w:val="708B1E92"/>
    <w:rsid w:val="70951E61"/>
    <w:rsid w:val="70A963CB"/>
    <w:rsid w:val="70AA676C"/>
    <w:rsid w:val="70B64BB9"/>
    <w:rsid w:val="70BA3F92"/>
    <w:rsid w:val="70CA07D3"/>
    <w:rsid w:val="70DA1794"/>
    <w:rsid w:val="70EA046D"/>
    <w:rsid w:val="70EF4AC3"/>
    <w:rsid w:val="710856E8"/>
    <w:rsid w:val="710A6416"/>
    <w:rsid w:val="71137C89"/>
    <w:rsid w:val="71293866"/>
    <w:rsid w:val="712A3520"/>
    <w:rsid w:val="71314F61"/>
    <w:rsid w:val="713A59D6"/>
    <w:rsid w:val="7163246B"/>
    <w:rsid w:val="71756BEC"/>
    <w:rsid w:val="71845829"/>
    <w:rsid w:val="71850523"/>
    <w:rsid w:val="71A04F61"/>
    <w:rsid w:val="71A8139E"/>
    <w:rsid w:val="71B77FE4"/>
    <w:rsid w:val="71C62135"/>
    <w:rsid w:val="71D800AF"/>
    <w:rsid w:val="71F87699"/>
    <w:rsid w:val="720C43B0"/>
    <w:rsid w:val="721D5E17"/>
    <w:rsid w:val="722E5D61"/>
    <w:rsid w:val="723A737E"/>
    <w:rsid w:val="72452506"/>
    <w:rsid w:val="72486BC5"/>
    <w:rsid w:val="72636FBD"/>
    <w:rsid w:val="726E620F"/>
    <w:rsid w:val="726F46F7"/>
    <w:rsid w:val="728B225D"/>
    <w:rsid w:val="72976AA3"/>
    <w:rsid w:val="72994B5E"/>
    <w:rsid w:val="729A4356"/>
    <w:rsid w:val="72D417F0"/>
    <w:rsid w:val="72D50A05"/>
    <w:rsid w:val="72DC7DC1"/>
    <w:rsid w:val="72E06804"/>
    <w:rsid w:val="72E80B67"/>
    <w:rsid w:val="72F37746"/>
    <w:rsid w:val="73057A1B"/>
    <w:rsid w:val="731A5ABC"/>
    <w:rsid w:val="731B4179"/>
    <w:rsid w:val="731F059C"/>
    <w:rsid w:val="73254F05"/>
    <w:rsid w:val="73313F50"/>
    <w:rsid w:val="733266F4"/>
    <w:rsid w:val="733320CC"/>
    <w:rsid w:val="733D44E6"/>
    <w:rsid w:val="733E184B"/>
    <w:rsid w:val="73447F5F"/>
    <w:rsid w:val="734876E0"/>
    <w:rsid w:val="73491EAF"/>
    <w:rsid w:val="734D73F8"/>
    <w:rsid w:val="734E285F"/>
    <w:rsid w:val="73513ADE"/>
    <w:rsid w:val="735D3A29"/>
    <w:rsid w:val="73641AA3"/>
    <w:rsid w:val="73644EDB"/>
    <w:rsid w:val="736D2A2D"/>
    <w:rsid w:val="736E2AF0"/>
    <w:rsid w:val="738B2B33"/>
    <w:rsid w:val="738B5CA2"/>
    <w:rsid w:val="73AA4C1D"/>
    <w:rsid w:val="73AE0FBB"/>
    <w:rsid w:val="73B21F17"/>
    <w:rsid w:val="73B32945"/>
    <w:rsid w:val="73BE0C4F"/>
    <w:rsid w:val="73C5400F"/>
    <w:rsid w:val="73DE133A"/>
    <w:rsid w:val="73E52EFE"/>
    <w:rsid w:val="73F365B5"/>
    <w:rsid w:val="74253E2C"/>
    <w:rsid w:val="74331DDF"/>
    <w:rsid w:val="74395184"/>
    <w:rsid w:val="7443726A"/>
    <w:rsid w:val="74462640"/>
    <w:rsid w:val="74521ADD"/>
    <w:rsid w:val="745725DB"/>
    <w:rsid w:val="74572713"/>
    <w:rsid w:val="745878F0"/>
    <w:rsid w:val="745F67DC"/>
    <w:rsid w:val="745F7728"/>
    <w:rsid w:val="74675B97"/>
    <w:rsid w:val="746F7BE1"/>
    <w:rsid w:val="74766629"/>
    <w:rsid w:val="747E1854"/>
    <w:rsid w:val="748102A2"/>
    <w:rsid w:val="7481113E"/>
    <w:rsid w:val="748D346C"/>
    <w:rsid w:val="74911CB6"/>
    <w:rsid w:val="74940BB0"/>
    <w:rsid w:val="74A1313A"/>
    <w:rsid w:val="74C313D9"/>
    <w:rsid w:val="74CD6493"/>
    <w:rsid w:val="74D0562F"/>
    <w:rsid w:val="74D62092"/>
    <w:rsid w:val="74ED5FEA"/>
    <w:rsid w:val="7502290D"/>
    <w:rsid w:val="75092AB2"/>
    <w:rsid w:val="7524639A"/>
    <w:rsid w:val="75251F22"/>
    <w:rsid w:val="75276077"/>
    <w:rsid w:val="752A065B"/>
    <w:rsid w:val="752E618B"/>
    <w:rsid w:val="753757F2"/>
    <w:rsid w:val="75404E9E"/>
    <w:rsid w:val="754B5534"/>
    <w:rsid w:val="75584A02"/>
    <w:rsid w:val="755F7268"/>
    <w:rsid w:val="75756EB2"/>
    <w:rsid w:val="75765C06"/>
    <w:rsid w:val="759D4796"/>
    <w:rsid w:val="75A02984"/>
    <w:rsid w:val="75A12162"/>
    <w:rsid w:val="75BB0D16"/>
    <w:rsid w:val="75C255AB"/>
    <w:rsid w:val="75D92799"/>
    <w:rsid w:val="75DE3A98"/>
    <w:rsid w:val="75E257C1"/>
    <w:rsid w:val="75E43F93"/>
    <w:rsid w:val="75EB78C2"/>
    <w:rsid w:val="75F12873"/>
    <w:rsid w:val="75F85A77"/>
    <w:rsid w:val="7624240F"/>
    <w:rsid w:val="762D6737"/>
    <w:rsid w:val="763214C6"/>
    <w:rsid w:val="76520792"/>
    <w:rsid w:val="766D328F"/>
    <w:rsid w:val="76837B4F"/>
    <w:rsid w:val="768B6251"/>
    <w:rsid w:val="76967E5D"/>
    <w:rsid w:val="76BA52CE"/>
    <w:rsid w:val="76BB55FC"/>
    <w:rsid w:val="76BB67B8"/>
    <w:rsid w:val="76C15629"/>
    <w:rsid w:val="76C92979"/>
    <w:rsid w:val="76CB7EC4"/>
    <w:rsid w:val="76D628AB"/>
    <w:rsid w:val="76FE08E5"/>
    <w:rsid w:val="772C5A9D"/>
    <w:rsid w:val="774E4FFE"/>
    <w:rsid w:val="77641520"/>
    <w:rsid w:val="776B66A3"/>
    <w:rsid w:val="776D64B2"/>
    <w:rsid w:val="778E21E0"/>
    <w:rsid w:val="779A4AB3"/>
    <w:rsid w:val="77A360F4"/>
    <w:rsid w:val="77B34AC5"/>
    <w:rsid w:val="77B6588A"/>
    <w:rsid w:val="77B8684D"/>
    <w:rsid w:val="77E754BA"/>
    <w:rsid w:val="77EA5930"/>
    <w:rsid w:val="77EB24A5"/>
    <w:rsid w:val="77F23897"/>
    <w:rsid w:val="78156151"/>
    <w:rsid w:val="78165E7A"/>
    <w:rsid w:val="78293576"/>
    <w:rsid w:val="78296BB3"/>
    <w:rsid w:val="784A0825"/>
    <w:rsid w:val="784E050A"/>
    <w:rsid w:val="7854597C"/>
    <w:rsid w:val="786F7A17"/>
    <w:rsid w:val="7877282F"/>
    <w:rsid w:val="787F7BE4"/>
    <w:rsid w:val="7886255D"/>
    <w:rsid w:val="789B69FC"/>
    <w:rsid w:val="78B4087D"/>
    <w:rsid w:val="78B51717"/>
    <w:rsid w:val="78B71326"/>
    <w:rsid w:val="78BA0F3E"/>
    <w:rsid w:val="78DC4D19"/>
    <w:rsid w:val="78FC3744"/>
    <w:rsid w:val="79076E85"/>
    <w:rsid w:val="791704B6"/>
    <w:rsid w:val="79324FEB"/>
    <w:rsid w:val="79417153"/>
    <w:rsid w:val="7945594D"/>
    <w:rsid w:val="794D7821"/>
    <w:rsid w:val="796D0514"/>
    <w:rsid w:val="796D414A"/>
    <w:rsid w:val="7990739D"/>
    <w:rsid w:val="79942D49"/>
    <w:rsid w:val="79944E25"/>
    <w:rsid w:val="799976EC"/>
    <w:rsid w:val="799A6F30"/>
    <w:rsid w:val="799C172F"/>
    <w:rsid w:val="799C2CA9"/>
    <w:rsid w:val="79A35567"/>
    <w:rsid w:val="79A81F77"/>
    <w:rsid w:val="79AC640D"/>
    <w:rsid w:val="79B416D1"/>
    <w:rsid w:val="79BC47B1"/>
    <w:rsid w:val="79C57330"/>
    <w:rsid w:val="79C6283E"/>
    <w:rsid w:val="79CA1089"/>
    <w:rsid w:val="79D92BCF"/>
    <w:rsid w:val="79E44BCD"/>
    <w:rsid w:val="79EA0234"/>
    <w:rsid w:val="79EB1524"/>
    <w:rsid w:val="79F066FB"/>
    <w:rsid w:val="79F225D9"/>
    <w:rsid w:val="79FC744C"/>
    <w:rsid w:val="7A1024D9"/>
    <w:rsid w:val="7A113DD0"/>
    <w:rsid w:val="7A1577F9"/>
    <w:rsid w:val="7A2676DB"/>
    <w:rsid w:val="7A2C158B"/>
    <w:rsid w:val="7A2E06A0"/>
    <w:rsid w:val="7A340C17"/>
    <w:rsid w:val="7A3D1CFC"/>
    <w:rsid w:val="7A472F2B"/>
    <w:rsid w:val="7A4A5BF1"/>
    <w:rsid w:val="7A4B2C7F"/>
    <w:rsid w:val="7A7D14DE"/>
    <w:rsid w:val="7A7D368E"/>
    <w:rsid w:val="7A921E7C"/>
    <w:rsid w:val="7A9F5EEE"/>
    <w:rsid w:val="7AA464BF"/>
    <w:rsid w:val="7AC07DC6"/>
    <w:rsid w:val="7ACA574B"/>
    <w:rsid w:val="7AD231B4"/>
    <w:rsid w:val="7B050238"/>
    <w:rsid w:val="7B143819"/>
    <w:rsid w:val="7B165233"/>
    <w:rsid w:val="7B1C4E06"/>
    <w:rsid w:val="7B210B32"/>
    <w:rsid w:val="7B3E684E"/>
    <w:rsid w:val="7B534AC7"/>
    <w:rsid w:val="7B837EE2"/>
    <w:rsid w:val="7B852DB4"/>
    <w:rsid w:val="7B856C52"/>
    <w:rsid w:val="7B926476"/>
    <w:rsid w:val="7B973621"/>
    <w:rsid w:val="7B9B74CF"/>
    <w:rsid w:val="7B9F1E9C"/>
    <w:rsid w:val="7BA47C39"/>
    <w:rsid w:val="7BBA7329"/>
    <w:rsid w:val="7BBF1938"/>
    <w:rsid w:val="7BC36868"/>
    <w:rsid w:val="7BCE3EE2"/>
    <w:rsid w:val="7BD312D9"/>
    <w:rsid w:val="7BEE18C9"/>
    <w:rsid w:val="7BEE3D32"/>
    <w:rsid w:val="7C023709"/>
    <w:rsid w:val="7C024A27"/>
    <w:rsid w:val="7C0D53C7"/>
    <w:rsid w:val="7C126535"/>
    <w:rsid w:val="7C2D765C"/>
    <w:rsid w:val="7C50251F"/>
    <w:rsid w:val="7C557EAE"/>
    <w:rsid w:val="7C5B1728"/>
    <w:rsid w:val="7C6145A2"/>
    <w:rsid w:val="7C6264EB"/>
    <w:rsid w:val="7C786F10"/>
    <w:rsid w:val="7C8009D9"/>
    <w:rsid w:val="7C891A12"/>
    <w:rsid w:val="7C8E647F"/>
    <w:rsid w:val="7CB532F0"/>
    <w:rsid w:val="7CB65E00"/>
    <w:rsid w:val="7CC27756"/>
    <w:rsid w:val="7CC34173"/>
    <w:rsid w:val="7CC53BBC"/>
    <w:rsid w:val="7CF219CE"/>
    <w:rsid w:val="7D052834"/>
    <w:rsid w:val="7D09149F"/>
    <w:rsid w:val="7D392935"/>
    <w:rsid w:val="7D49074C"/>
    <w:rsid w:val="7D5B03E1"/>
    <w:rsid w:val="7D623740"/>
    <w:rsid w:val="7D6975B4"/>
    <w:rsid w:val="7D7560BC"/>
    <w:rsid w:val="7D781521"/>
    <w:rsid w:val="7D7913BB"/>
    <w:rsid w:val="7D9143DB"/>
    <w:rsid w:val="7D9F11F3"/>
    <w:rsid w:val="7DB406E9"/>
    <w:rsid w:val="7DB8297F"/>
    <w:rsid w:val="7DBE2B00"/>
    <w:rsid w:val="7DBE2DD8"/>
    <w:rsid w:val="7DC558DB"/>
    <w:rsid w:val="7DCC5044"/>
    <w:rsid w:val="7DDA1EAB"/>
    <w:rsid w:val="7DE23850"/>
    <w:rsid w:val="7DEE6A66"/>
    <w:rsid w:val="7DF805C5"/>
    <w:rsid w:val="7DFB4C12"/>
    <w:rsid w:val="7DFC6480"/>
    <w:rsid w:val="7E0835F4"/>
    <w:rsid w:val="7E0873A9"/>
    <w:rsid w:val="7E091E51"/>
    <w:rsid w:val="7E227E8E"/>
    <w:rsid w:val="7E2D6DB2"/>
    <w:rsid w:val="7E47447F"/>
    <w:rsid w:val="7E55053D"/>
    <w:rsid w:val="7E606158"/>
    <w:rsid w:val="7E68472E"/>
    <w:rsid w:val="7E745D04"/>
    <w:rsid w:val="7E7559FF"/>
    <w:rsid w:val="7E822E6C"/>
    <w:rsid w:val="7E85231D"/>
    <w:rsid w:val="7E8B34E5"/>
    <w:rsid w:val="7EBB35A2"/>
    <w:rsid w:val="7EC00D1B"/>
    <w:rsid w:val="7ECE67EA"/>
    <w:rsid w:val="7ED3548E"/>
    <w:rsid w:val="7EDA4230"/>
    <w:rsid w:val="7EE6792A"/>
    <w:rsid w:val="7EE95898"/>
    <w:rsid w:val="7EFB4042"/>
    <w:rsid w:val="7EFB672F"/>
    <w:rsid w:val="7EFE10D9"/>
    <w:rsid w:val="7F043862"/>
    <w:rsid w:val="7F050558"/>
    <w:rsid w:val="7F1269D0"/>
    <w:rsid w:val="7F1343BA"/>
    <w:rsid w:val="7F1C6948"/>
    <w:rsid w:val="7F200285"/>
    <w:rsid w:val="7F371790"/>
    <w:rsid w:val="7F380EBD"/>
    <w:rsid w:val="7F39055C"/>
    <w:rsid w:val="7F437B97"/>
    <w:rsid w:val="7F505B87"/>
    <w:rsid w:val="7F644F5D"/>
    <w:rsid w:val="7F731BAC"/>
    <w:rsid w:val="7F756653"/>
    <w:rsid w:val="7F9C1B10"/>
    <w:rsid w:val="7FA96673"/>
    <w:rsid w:val="7FB15DA0"/>
    <w:rsid w:val="7FCB15C0"/>
    <w:rsid w:val="7FE83926"/>
    <w:rsid w:val="7FFA1E2B"/>
    <w:rsid w:val="7FFB6AFA"/>
    <w:rsid w:val="7FFC65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nhideWhenUsed="0" w:uiPriority="0" w:semiHidden="0"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21"/>
      <w:szCs w:val="22"/>
      <w:lang w:val="en-US" w:eastAsia="zh-CN" w:bidi="ar-SA"/>
    </w:rPr>
  </w:style>
  <w:style w:type="paragraph" w:styleId="6">
    <w:name w:val="heading 1"/>
    <w:basedOn w:val="1"/>
    <w:next w:val="1"/>
    <w:link w:val="36"/>
    <w:qFormat/>
    <w:uiPriority w:val="9"/>
    <w:pPr>
      <w:keepNext/>
      <w:keepLines/>
      <w:spacing w:before="340" w:after="330" w:line="578" w:lineRule="auto"/>
      <w:outlineLvl w:val="0"/>
    </w:pPr>
    <w:rPr>
      <w:b/>
      <w:bCs/>
      <w:kern w:val="44"/>
      <w:sz w:val="44"/>
      <w:szCs w:val="44"/>
    </w:rPr>
  </w:style>
  <w:style w:type="paragraph" w:styleId="7">
    <w:name w:val="heading 2"/>
    <w:basedOn w:val="1"/>
    <w:next w:val="1"/>
    <w:link w:val="3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8">
    <w:name w:val="heading 3"/>
    <w:basedOn w:val="1"/>
    <w:next w:val="1"/>
    <w:link w:val="38"/>
    <w:unhideWhenUsed/>
    <w:qFormat/>
    <w:uiPriority w:val="9"/>
    <w:pPr>
      <w:keepNext/>
      <w:keepLines/>
      <w:spacing w:before="260" w:after="260" w:line="416" w:lineRule="auto"/>
      <w:outlineLvl w:val="2"/>
    </w:pPr>
    <w:rPr>
      <w:b/>
      <w:bCs/>
      <w:sz w:val="32"/>
      <w:szCs w:val="32"/>
    </w:rPr>
  </w:style>
  <w:style w:type="paragraph" w:styleId="9">
    <w:name w:val="heading 4"/>
    <w:basedOn w:val="1"/>
    <w:next w:val="1"/>
    <w:link w:val="39"/>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7">
    <w:name w:val="Default Paragraph Font"/>
    <w:semiHidden/>
    <w:unhideWhenUsed/>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spacing w:before="100" w:beforeAutospacing="1"/>
      <w:ind w:firstLine="420" w:firstLineChars="100"/>
    </w:pPr>
    <w:rPr>
      <w:rFonts w:ascii="Calibri" w:hAnsi="Calibri" w:cs="Times New Roman"/>
    </w:rPr>
  </w:style>
  <w:style w:type="paragraph" w:styleId="3">
    <w:name w:val="Body Text"/>
    <w:basedOn w:val="1"/>
    <w:next w:val="4"/>
    <w:qFormat/>
    <w:uiPriority w:val="1"/>
    <w:rPr>
      <w:rFonts w:ascii="宋体" w:hAnsi="宋体" w:eastAsia="宋体" w:cs="宋体"/>
      <w:b/>
      <w:bCs/>
      <w:sz w:val="33"/>
      <w:szCs w:val="33"/>
      <w:lang w:val="zh-CN" w:bidi="zh-CN"/>
    </w:rPr>
  </w:style>
  <w:style w:type="paragraph" w:styleId="4">
    <w:name w:val="header"/>
    <w:basedOn w:val="1"/>
    <w:next w:val="5"/>
    <w:link w:val="43"/>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index 8"/>
    <w:basedOn w:val="1"/>
    <w:next w:val="1"/>
    <w:qFormat/>
    <w:uiPriority w:val="0"/>
    <w:pPr>
      <w:ind w:left="2940"/>
    </w:pPr>
    <w:rPr>
      <w:rFonts w:ascii="Calibri" w:hAnsi="Calibri" w:eastAsia="宋体"/>
    </w:rPr>
  </w:style>
  <w:style w:type="paragraph" w:styleId="10">
    <w:name w:val="toc 7"/>
    <w:basedOn w:val="1"/>
    <w:next w:val="1"/>
    <w:unhideWhenUsed/>
    <w:qFormat/>
    <w:uiPriority w:val="39"/>
    <w:pPr>
      <w:ind w:left="2520" w:leftChars="1200"/>
    </w:pPr>
    <w:rPr>
      <w:rFonts w:asciiTheme="minorHAnsi" w:hAnsiTheme="minorHAnsi" w:eastAsiaTheme="minorEastAsia" w:cstheme="minorBidi"/>
    </w:rPr>
  </w:style>
  <w:style w:type="paragraph" w:styleId="11">
    <w:name w:val="annotation text"/>
    <w:basedOn w:val="1"/>
    <w:link w:val="40"/>
    <w:semiHidden/>
    <w:unhideWhenUsed/>
    <w:qFormat/>
    <w:uiPriority w:val="99"/>
    <w:pPr>
      <w:jc w:val="left"/>
    </w:pPr>
  </w:style>
  <w:style w:type="paragraph" w:styleId="12">
    <w:name w:val="Body Text Indent"/>
    <w:basedOn w:val="1"/>
    <w:link w:val="56"/>
    <w:unhideWhenUsed/>
    <w:qFormat/>
    <w:uiPriority w:val="99"/>
    <w:pPr>
      <w:spacing w:after="120"/>
      <w:ind w:left="420" w:leftChars="200"/>
    </w:pPr>
  </w:style>
  <w:style w:type="paragraph" w:styleId="13">
    <w:name w:val="toc 5"/>
    <w:basedOn w:val="1"/>
    <w:next w:val="1"/>
    <w:unhideWhenUsed/>
    <w:qFormat/>
    <w:uiPriority w:val="39"/>
    <w:pPr>
      <w:ind w:left="1680" w:leftChars="800"/>
    </w:pPr>
    <w:rPr>
      <w:rFonts w:asciiTheme="minorHAnsi" w:hAnsiTheme="minorHAnsi" w:eastAsiaTheme="minorEastAsia" w:cstheme="minorBidi"/>
    </w:rPr>
  </w:style>
  <w:style w:type="paragraph" w:styleId="14">
    <w:name w:val="toc 3"/>
    <w:basedOn w:val="1"/>
    <w:next w:val="1"/>
    <w:unhideWhenUsed/>
    <w:qFormat/>
    <w:uiPriority w:val="39"/>
    <w:pPr>
      <w:ind w:left="840" w:leftChars="400"/>
    </w:pPr>
  </w:style>
  <w:style w:type="paragraph" w:styleId="15">
    <w:name w:val="toc 8"/>
    <w:basedOn w:val="1"/>
    <w:next w:val="1"/>
    <w:unhideWhenUsed/>
    <w:qFormat/>
    <w:uiPriority w:val="39"/>
    <w:pPr>
      <w:ind w:left="2940" w:leftChars="1400"/>
    </w:pPr>
    <w:rPr>
      <w:rFonts w:asciiTheme="minorHAnsi" w:hAnsiTheme="minorHAnsi" w:eastAsiaTheme="minorEastAsia" w:cstheme="minorBidi"/>
    </w:rPr>
  </w:style>
  <w:style w:type="paragraph" w:styleId="16">
    <w:name w:val="Balloon Text"/>
    <w:basedOn w:val="1"/>
    <w:link w:val="41"/>
    <w:semiHidden/>
    <w:unhideWhenUsed/>
    <w:qFormat/>
    <w:uiPriority w:val="99"/>
    <w:rPr>
      <w:sz w:val="18"/>
      <w:szCs w:val="18"/>
    </w:rPr>
  </w:style>
  <w:style w:type="paragraph" w:styleId="17">
    <w:name w:val="footer"/>
    <w:basedOn w:val="1"/>
    <w:link w:val="42"/>
    <w:unhideWhenUsed/>
    <w:qFormat/>
    <w:uiPriority w:val="99"/>
    <w:pPr>
      <w:tabs>
        <w:tab w:val="center" w:pos="4153"/>
        <w:tab w:val="right" w:pos="8306"/>
      </w:tabs>
      <w:snapToGrid w:val="0"/>
      <w:jc w:val="left"/>
    </w:pPr>
    <w:rPr>
      <w:sz w:val="18"/>
      <w:szCs w:val="18"/>
    </w:rPr>
  </w:style>
  <w:style w:type="paragraph" w:styleId="18">
    <w:name w:val="toc 1"/>
    <w:basedOn w:val="1"/>
    <w:next w:val="1"/>
    <w:unhideWhenUsed/>
    <w:qFormat/>
    <w:uiPriority w:val="39"/>
    <w:pPr>
      <w:tabs>
        <w:tab w:val="right" w:leader="dot" w:pos="8516"/>
      </w:tabs>
      <w:spacing w:line="400" w:lineRule="exact"/>
    </w:pPr>
  </w:style>
  <w:style w:type="paragraph" w:styleId="19">
    <w:name w:val="toc 4"/>
    <w:basedOn w:val="1"/>
    <w:next w:val="1"/>
    <w:unhideWhenUsed/>
    <w:qFormat/>
    <w:uiPriority w:val="39"/>
    <w:pPr>
      <w:ind w:left="1260" w:leftChars="600"/>
    </w:pPr>
    <w:rPr>
      <w:rFonts w:asciiTheme="minorHAnsi" w:hAnsiTheme="minorHAnsi" w:eastAsiaTheme="minorEastAsia" w:cstheme="minorBidi"/>
    </w:rPr>
  </w:style>
  <w:style w:type="paragraph" w:styleId="20">
    <w:name w:val="toc 6"/>
    <w:basedOn w:val="1"/>
    <w:next w:val="1"/>
    <w:unhideWhenUsed/>
    <w:qFormat/>
    <w:uiPriority w:val="39"/>
    <w:pPr>
      <w:ind w:left="2100" w:leftChars="1000"/>
    </w:pPr>
    <w:rPr>
      <w:rFonts w:asciiTheme="minorHAnsi" w:hAnsiTheme="minorHAnsi" w:eastAsiaTheme="minorEastAsia" w:cstheme="minorBidi"/>
    </w:rPr>
  </w:style>
  <w:style w:type="paragraph" w:styleId="21">
    <w:name w:val="toc 2"/>
    <w:basedOn w:val="1"/>
    <w:next w:val="1"/>
    <w:unhideWhenUsed/>
    <w:qFormat/>
    <w:uiPriority w:val="39"/>
    <w:pPr>
      <w:ind w:left="420" w:leftChars="200"/>
    </w:pPr>
  </w:style>
  <w:style w:type="paragraph" w:styleId="22">
    <w:name w:val="toc 9"/>
    <w:basedOn w:val="1"/>
    <w:next w:val="1"/>
    <w:unhideWhenUsed/>
    <w:qFormat/>
    <w:uiPriority w:val="39"/>
    <w:pPr>
      <w:ind w:left="3360" w:leftChars="1600"/>
    </w:pPr>
    <w:rPr>
      <w:rFonts w:asciiTheme="minorHAnsi" w:hAnsiTheme="minorHAnsi" w:eastAsiaTheme="minorEastAsia" w:cstheme="minorBidi"/>
    </w:rPr>
  </w:style>
  <w:style w:type="paragraph" w:styleId="2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4">
    <w:name w:val="annotation subject"/>
    <w:basedOn w:val="11"/>
    <w:next w:val="11"/>
    <w:link w:val="44"/>
    <w:semiHidden/>
    <w:unhideWhenUsed/>
    <w:qFormat/>
    <w:uiPriority w:val="99"/>
    <w:rPr>
      <w:b/>
      <w:bCs/>
    </w:rPr>
  </w:style>
  <w:style w:type="table" w:styleId="26">
    <w:name w:val="Table Grid"/>
    <w:basedOn w:val="25"/>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rPr>
  </w:style>
  <w:style w:type="character" w:styleId="29">
    <w:name w:val="Emphasis"/>
    <w:basedOn w:val="27"/>
    <w:qFormat/>
    <w:uiPriority w:val="20"/>
    <w:rPr>
      <w:i/>
    </w:rPr>
  </w:style>
  <w:style w:type="character" w:styleId="30">
    <w:name w:val="Hyperlink"/>
    <w:basedOn w:val="27"/>
    <w:unhideWhenUsed/>
    <w:qFormat/>
    <w:uiPriority w:val="99"/>
    <w:rPr>
      <w:color w:val="0000FF" w:themeColor="hyperlink"/>
      <w:u w:val="single"/>
      <w14:textFill>
        <w14:solidFill>
          <w14:schemeClr w14:val="hlink"/>
        </w14:solidFill>
      </w14:textFill>
    </w:rPr>
  </w:style>
  <w:style w:type="character" w:styleId="31">
    <w:name w:val="annotation reference"/>
    <w:basedOn w:val="27"/>
    <w:semiHidden/>
    <w:unhideWhenUsed/>
    <w:qFormat/>
    <w:uiPriority w:val="99"/>
    <w:rPr>
      <w:sz w:val="21"/>
      <w:szCs w:val="21"/>
    </w:rPr>
  </w:style>
  <w:style w:type="paragraph" w:customStyle="1" w:styleId="32">
    <w:name w:val="BodyText1I2"/>
    <w:basedOn w:val="33"/>
    <w:next w:val="34"/>
    <w:qFormat/>
    <w:uiPriority w:val="0"/>
    <w:pPr>
      <w:ind w:firstLine="420"/>
    </w:pPr>
  </w:style>
  <w:style w:type="paragraph" w:customStyle="1" w:styleId="33">
    <w:name w:val="BodyTextIndent"/>
    <w:basedOn w:val="1"/>
    <w:qFormat/>
    <w:uiPriority w:val="0"/>
    <w:pPr>
      <w:spacing w:after="120"/>
      <w:ind w:left="420" w:leftChars="200"/>
      <w:textAlignment w:val="baseline"/>
    </w:pPr>
  </w:style>
  <w:style w:type="paragraph" w:customStyle="1" w:styleId="34">
    <w:name w:val="BodyText1I"/>
    <w:basedOn w:val="35"/>
    <w:qFormat/>
    <w:uiPriority w:val="0"/>
    <w:pPr>
      <w:ind w:firstLine="420" w:firstLineChars="100"/>
    </w:pPr>
  </w:style>
  <w:style w:type="paragraph" w:customStyle="1" w:styleId="35">
    <w:name w:val="BodyText"/>
    <w:basedOn w:val="1"/>
    <w:next w:val="1"/>
    <w:qFormat/>
    <w:uiPriority w:val="0"/>
    <w:pPr>
      <w:spacing w:after="120"/>
      <w:textAlignment w:val="baseline"/>
    </w:pPr>
  </w:style>
  <w:style w:type="character" w:customStyle="1" w:styleId="36">
    <w:name w:val="标题 1 字符"/>
    <w:basedOn w:val="27"/>
    <w:link w:val="6"/>
    <w:qFormat/>
    <w:uiPriority w:val="9"/>
    <w:rPr>
      <w:b/>
      <w:bCs/>
      <w:kern w:val="44"/>
      <w:sz w:val="44"/>
      <w:szCs w:val="44"/>
    </w:rPr>
  </w:style>
  <w:style w:type="character" w:customStyle="1" w:styleId="37">
    <w:name w:val="标题 2 字符"/>
    <w:basedOn w:val="27"/>
    <w:link w:val="7"/>
    <w:qFormat/>
    <w:uiPriority w:val="9"/>
    <w:rPr>
      <w:rFonts w:asciiTheme="majorHAnsi" w:hAnsiTheme="majorHAnsi" w:eastAsiaTheme="majorEastAsia" w:cstheme="majorBidi"/>
      <w:b/>
      <w:bCs/>
      <w:sz w:val="32"/>
      <w:szCs w:val="32"/>
    </w:rPr>
  </w:style>
  <w:style w:type="character" w:customStyle="1" w:styleId="38">
    <w:name w:val="标题 3 字符"/>
    <w:basedOn w:val="27"/>
    <w:link w:val="8"/>
    <w:qFormat/>
    <w:uiPriority w:val="9"/>
    <w:rPr>
      <w:b/>
      <w:bCs/>
      <w:sz w:val="32"/>
      <w:szCs w:val="32"/>
    </w:rPr>
  </w:style>
  <w:style w:type="character" w:customStyle="1" w:styleId="39">
    <w:name w:val="标题 4 字符"/>
    <w:basedOn w:val="27"/>
    <w:link w:val="9"/>
    <w:semiHidden/>
    <w:qFormat/>
    <w:uiPriority w:val="9"/>
    <w:rPr>
      <w:rFonts w:asciiTheme="majorHAnsi" w:hAnsiTheme="majorHAnsi" w:eastAsiaTheme="majorEastAsia" w:cstheme="majorBidi"/>
      <w:b/>
      <w:bCs/>
      <w:sz w:val="28"/>
      <w:szCs w:val="28"/>
    </w:rPr>
  </w:style>
  <w:style w:type="character" w:customStyle="1" w:styleId="40">
    <w:name w:val="批注文字 字符"/>
    <w:basedOn w:val="27"/>
    <w:link w:val="11"/>
    <w:semiHidden/>
    <w:qFormat/>
    <w:uiPriority w:val="99"/>
  </w:style>
  <w:style w:type="character" w:customStyle="1" w:styleId="41">
    <w:name w:val="批注框文本 字符"/>
    <w:basedOn w:val="27"/>
    <w:link w:val="16"/>
    <w:semiHidden/>
    <w:qFormat/>
    <w:uiPriority w:val="99"/>
    <w:rPr>
      <w:sz w:val="18"/>
      <w:szCs w:val="18"/>
    </w:rPr>
  </w:style>
  <w:style w:type="character" w:customStyle="1" w:styleId="42">
    <w:name w:val="页脚 字符"/>
    <w:basedOn w:val="27"/>
    <w:link w:val="17"/>
    <w:qFormat/>
    <w:uiPriority w:val="99"/>
    <w:rPr>
      <w:sz w:val="18"/>
      <w:szCs w:val="18"/>
    </w:rPr>
  </w:style>
  <w:style w:type="character" w:customStyle="1" w:styleId="43">
    <w:name w:val="页眉 字符"/>
    <w:basedOn w:val="27"/>
    <w:link w:val="4"/>
    <w:qFormat/>
    <w:uiPriority w:val="99"/>
    <w:rPr>
      <w:sz w:val="18"/>
      <w:szCs w:val="18"/>
    </w:rPr>
  </w:style>
  <w:style w:type="character" w:customStyle="1" w:styleId="44">
    <w:name w:val="批注主题 字符"/>
    <w:basedOn w:val="40"/>
    <w:link w:val="24"/>
    <w:semiHidden/>
    <w:qFormat/>
    <w:uiPriority w:val="99"/>
    <w:rPr>
      <w:b/>
      <w:bCs/>
    </w:rPr>
  </w:style>
  <w:style w:type="table" w:customStyle="1" w:styleId="45">
    <w:name w:val="网格型1"/>
    <w:basedOn w:val="25"/>
    <w:qFormat/>
    <w:uiPriority w:val="0"/>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
    <w:name w:val="网格型2"/>
    <w:basedOn w:val="25"/>
    <w:qFormat/>
    <w:uiPriority w:val="0"/>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
    <w:name w:val="网格型3"/>
    <w:basedOn w:val="25"/>
    <w:qFormat/>
    <w:uiPriority w:val="0"/>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8">
    <w:name w:val="List Paragraph"/>
    <w:basedOn w:val="1"/>
    <w:qFormat/>
    <w:uiPriority w:val="34"/>
    <w:pPr>
      <w:ind w:firstLine="420" w:firstLineChars="200"/>
    </w:pPr>
  </w:style>
  <w:style w:type="paragraph" w:customStyle="1" w:styleId="49">
    <w:name w:val="TOC 标题1"/>
    <w:basedOn w:val="6"/>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table" w:customStyle="1" w:styleId="50">
    <w:name w:val="网格型4"/>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
    <w:name w:val="网格型5"/>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
    <w:name w:val="网格型6"/>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
    <w:name w:val="网格型7"/>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4">
    <w:name w:val="修订1"/>
    <w:hidden/>
    <w:unhideWhenUsed/>
    <w:qFormat/>
    <w:uiPriority w:val="99"/>
    <w:rPr>
      <w:rFonts w:ascii="Times New Roman" w:hAnsi="Times New Roman" w:eastAsia="方正仿宋_GBK" w:cs="Times New Roman"/>
      <w:kern w:val="2"/>
      <w:sz w:val="21"/>
      <w:szCs w:val="22"/>
      <w:lang w:val="en-US" w:eastAsia="zh-CN" w:bidi="ar-SA"/>
    </w:rPr>
  </w:style>
  <w:style w:type="paragraph" w:customStyle="1" w:styleId="55">
    <w:name w:val="Default"/>
    <w:qFormat/>
    <w:uiPriority w:val="0"/>
    <w:pPr>
      <w:widowControl w:val="0"/>
      <w:autoSpaceDE w:val="0"/>
      <w:autoSpaceDN w:val="0"/>
      <w:adjustRightInd w:val="0"/>
    </w:pPr>
    <w:rPr>
      <w:rFonts w:ascii="方正楷体_GBK" w:hAnsi="方正楷体_GBK" w:cs="方正楷体_GBK" w:eastAsiaTheme="minorEastAsia"/>
      <w:color w:val="000000"/>
      <w:sz w:val="24"/>
      <w:szCs w:val="24"/>
      <w:lang w:val="en-US" w:eastAsia="zh-CN" w:bidi="ar-SA"/>
    </w:rPr>
  </w:style>
  <w:style w:type="character" w:customStyle="1" w:styleId="56">
    <w:name w:val="正文文本缩进 字符"/>
    <w:basedOn w:val="27"/>
    <w:link w:val="12"/>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9202FF-0E34-46DF-98C4-D4746FD9C82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107</Pages>
  <Words>8958</Words>
  <Characters>51062</Characters>
  <Lines>425</Lines>
  <Paragraphs>119</Paragraphs>
  <TotalTime>6</TotalTime>
  <ScaleCrop>false</ScaleCrop>
  <LinksUpToDate>false</LinksUpToDate>
  <CharactersWithSpaces>59901</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2021-01-15T06:48:00Z</dcterms:created>
  <dc:creator>韩春阳</dc:creator>
  <cp:lastModifiedBy>胖子，回来</cp:lastModifiedBy>
  <cp:lastPrinted>2021-11-03T03:10:00Z</cp:lastPrinted>
  <dcterms:modified xsi:type="dcterms:W3CDTF">2021-12-03T03:41:09Z</dcterms:modified>
  <cp:revision>1188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0218489B043E4F6BA0D389F95E41EE52</vt:lpwstr>
  </property>
  <property fmtid="{D5CDD505-2E9C-101B-9397-08002B2CF9AE}" pid="4" name="KSOSaveFontToCloudKey">
    <vt:lpwstr>247098581_btnclosed</vt:lpwstr>
  </property>
</Properties>
</file>